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85597" w14:textId="77777777" w:rsidR="001054A4" w:rsidRDefault="001054A4" w:rsidP="00AC46C3">
      <w:pPr>
        <w:pStyle w:val="NormalWeb"/>
        <w:spacing w:before="0" w:beforeAutospacing="0" w:after="0"/>
        <w:ind w:right="247"/>
        <w:jc w:val="right"/>
        <w:rPr>
          <w:rFonts w:ascii="Calibri" w:hAnsi="Calibri"/>
          <w:b/>
          <w:bCs/>
        </w:rPr>
      </w:pPr>
    </w:p>
    <w:p w14:paraId="5DA839AD" w14:textId="77777777" w:rsidR="001054A4" w:rsidRDefault="001054A4" w:rsidP="004060A8">
      <w:pPr>
        <w:pStyle w:val="NormalWeb"/>
        <w:spacing w:before="0" w:beforeAutospacing="0" w:after="0"/>
        <w:jc w:val="right"/>
        <w:rPr>
          <w:rFonts w:ascii="Calibri" w:hAnsi="Calibri"/>
          <w:b/>
          <w:bCs/>
        </w:rPr>
      </w:pPr>
    </w:p>
    <w:p w14:paraId="19B9880D" w14:textId="77777777" w:rsidR="001054A4" w:rsidRPr="00AF3A27" w:rsidRDefault="001054A4" w:rsidP="001054A4">
      <w:pPr>
        <w:jc w:val="both"/>
        <w:rPr>
          <w:rFonts w:ascii="Arial" w:hAnsi="Arial" w:cs="Arial"/>
        </w:rPr>
      </w:pPr>
    </w:p>
    <w:p w14:paraId="7DA52B44" w14:textId="77777777" w:rsidR="003E548A" w:rsidRPr="006E1924" w:rsidRDefault="003E548A" w:rsidP="003E548A">
      <w:pPr>
        <w:jc w:val="center"/>
        <w:rPr>
          <w:rFonts w:ascii="Helvetica" w:hAnsi="Helvetica"/>
          <w:b/>
          <w:bCs/>
          <w:kern w:val="32"/>
        </w:rPr>
      </w:pPr>
      <w:r w:rsidRPr="006E1924">
        <w:rPr>
          <w:rFonts w:ascii="Helvetica" w:hAnsi="Helvetica"/>
          <w:b/>
          <w:bCs/>
          <w:kern w:val="32"/>
        </w:rPr>
        <w:t>NOTAS DE GESTIÓN ADMINISTRATIVA</w:t>
      </w:r>
    </w:p>
    <w:p w14:paraId="0C24DE41" w14:textId="77777777" w:rsidR="00F146FF" w:rsidRDefault="00F146FF" w:rsidP="003E548A">
      <w:pPr>
        <w:jc w:val="center"/>
        <w:rPr>
          <w:rFonts w:ascii="Century Gothic" w:hAnsi="Century Gothic" w:cs="Arial"/>
          <w:sz w:val="22"/>
          <w:szCs w:val="22"/>
        </w:rPr>
      </w:pPr>
    </w:p>
    <w:p w14:paraId="4479DA05" w14:textId="40790590" w:rsidR="003E548A" w:rsidRDefault="003E548A" w:rsidP="003E548A">
      <w:pPr>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0</w:t>
      </w:r>
      <w:r w:rsidR="00B42B15">
        <w:rPr>
          <w:rFonts w:ascii="Century Gothic" w:hAnsi="Century Gothic" w:cs="Arial"/>
          <w:sz w:val="22"/>
          <w:szCs w:val="22"/>
        </w:rPr>
        <w:t>1 DE ENERO AL 3</w:t>
      </w:r>
      <w:r w:rsidR="001C1DDD">
        <w:rPr>
          <w:rFonts w:ascii="Century Gothic" w:hAnsi="Century Gothic" w:cs="Arial"/>
          <w:sz w:val="22"/>
          <w:szCs w:val="22"/>
        </w:rPr>
        <w:t xml:space="preserve">0 DE </w:t>
      </w:r>
      <w:r w:rsidR="008A1FA3">
        <w:rPr>
          <w:rFonts w:ascii="Century Gothic" w:hAnsi="Century Gothic" w:cs="Arial"/>
          <w:sz w:val="22"/>
          <w:szCs w:val="22"/>
        </w:rPr>
        <w:t>SEPTIEMBRE</w:t>
      </w:r>
      <w:bookmarkStart w:id="0" w:name="_GoBack"/>
      <w:bookmarkEnd w:id="0"/>
      <w:r w:rsidR="00B42B15">
        <w:rPr>
          <w:rFonts w:ascii="Century Gothic" w:hAnsi="Century Gothic" w:cs="Arial"/>
          <w:sz w:val="22"/>
          <w:szCs w:val="22"/>
        </w:rPr>
        <w:t xml:space="preserve"> DE 202</w:t>
      </w:r>
      <w:r w:rsidR="00035D1F">
        <w:rPr>
          <w:rFonts w:ascii="Century Gothic" w:hAnsi="Century Gothic" w:cs="Arial"/>
          <w:sz w:val="22"/>
          <w:szCs w:val="22"/>
        </w:rPr>
        <w:t>1</w:t>
      </w:r>
    </w:p>
    <w:p w14:paraId="11ADD7A6" w14:textId="77777777" w:rsidR="003E548A" w:rsidRDefault="003E548A" w:rsidP="003E548A">
      <w:pPr>
        <w:pStyle w:val="Piedepgina"/>
        <w:ind w:left="709"/>
        <w:jc w:val="both"/>
        <w:rPr>
          <w:rFonts w:ascii="Helvetica" w:hAnsi="Helvetica"/>
          <w:b/>
        </w:rPr>
      </w:pPr>
    </w:p>
    <w:p w14:paraId="5536A903"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Introducción</w:t>
      </w:r>
    </w:p>
    <w:p w14:paraId="2CFEAA4A"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40D79653" w14:textId="326856CA"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De conformidad con lo que establece la Ley General de Contabilidad Gubernamental y los Lineamientos emitidos por el Consejo Nacional de Armonización Contable (CONAC) y demás disposiciones que establecen las diversas instancias que tienen injerencia en esta materia, se presentan los Estados Financieros correspondientes al ejercicio fiscal 20</w:t>
      </w:r>
      <w:r w:rsidR="00B42B15">
        <w:rPr>
          <w:rFonts w:ascii="Cambria" w:eastAsia="MS Mincho" w:hAnsi="Cambria" w:cs="Times New Roman"/>
          <w:sz w:val="22"/>
          <w:szCs w:val="22"/>
          <w:lang w:val="es-MX"/>
        </w:rPr>
        <w:t>2</w:t>
      </w:r>
      <w:r w:rsidR="00035D1F">
        <w:rPr>
          <w:rFonts w:ascii="Cambria" w:eastAsia="MS Mincho" w:hAnsi="Cambria" w:cs="Times New Roman"/>
          <w:sz w:val="22"/>
          <w:szCs w:val="22"/>
          <w:lang w:val="es-MX"/>
        </w:rPr>
        <w:t>1</w:t>
      </w:r>
      <w:r w:rsidRPr="00065574">
        <w:rPr>
          <w:rFonts w:ascii="Cambria" w:eastAsia="MS Mincho" w:hAnsi="Cambria" w:cs="Times New Roman"/>
          <w:sz w:val="22"/>
          <w:szCs w:val="22"/>
          <w:lang w:val="es-MX"/>
        </w:rPr>
        <w:t>.</w:t>
      </w:r>
    </w:p>
    <w:p w14:paraId="29AEC5E5"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30EAB091" w14:textId="77777777"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Estos documentos expresan las transacciones y operaciones económicas realizadas por las Áreas Administrativas que conforman el Ayuntamiento.</w:t>
      </w:r>
    </w:p>
    <w:p w14:paraId="3684845E"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14D6CDE3" w14:textId="5ECB288E"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lang w:val="es-MX"/>
        </w:rPr>
        <w:t xml:space="preserve">Para una mayor exposición de la información financiera se incluyen diversas notas que amplían el contexto dentro del cual se generaron los datos. Con el mismo fin, a continuación, se presenta una breve descripción de la estructura y el contenido de la Información Financiera del Gobierno </w:t>
      </w:r>
      <w:r>
        <w:rPr>
          <w:rFonts w:ascii="Cambria" w:eastAsia="MS Mincho" w:hAnsi="Cambria" w:cs="Times New Roman"/>
          <w:sz w:val="22"/>
          <w:szCs w:val="20"/>
          <w:lang w:val="es-MX"/>
        </w:rPr>
        <w:t>Municipal</w:t>
      </w:r>
      <w:r w:rsidRPr="00065574">
        <w:rPr>
          <w:rFonts w:ascii="Cambria" w:eastAsia="MS Mincho" w:hAnsi="Cambria" w:cs="Times New Roman"/>
          <w:sz w:val="22"/>
          <w:szCs w:val="20"/>
          <w:lang w:val="es-MX"/>
        </w:rPr>
        <w:t xml:space="preserve"> de Tuxtla Gutiérrez, Chiapa</w:t>
      </w:r>
      <w:r w:rsidR="00B42B15">
        <w:rPr>
          <w:rFonts w:ascii="Cambria" w:eastAsia="MS Mincho" w:hAnsi="Cambria" w:cs="Times New Roman"/>
          <w:sz w:val="22"/>
          <w:szCs w:val="20"/>
          <w:lang w:val="es-MX"/>
        </w:rPr>
        <w:t>s; para el ejercicio fiscal 202</w:t>
      </w:r>
      <w:r w:rsidR="00844084">
        <w:rPr>
          <w:rFonts w:ascii="Cambria" w:eastAsia="MS Mincho" w:hAnsi="Cambria" w:cs="Times New Roman"/>
          <w:sz w:val="22"/>
          <w:szCs w:val="20"/>
          <w:lang w:val="es-MX"/>
        </w:rPr>
        <w:t>1</w:t>
      </w:r>
      <w:r w:rsidRPr="00065574">
        <w:rPr>
          <w:rFonts w:ascii="Cambria" w:eastAsia="MS Mincho" w:hAnsi="Cambria" w:cs="Times New Roman"/>
          <w:sz w:val="22"/>
          <w:szCs w:val="20"/>
          <w:lang w:val="es-MX"/>
        </w:rPr>
        <w:t>.</w:t>
      </w:r>
      <w:r w:rsidRPr="00065574">
        <w:rPr>
          <w:rFonts w:ascii="Cambria" w:eastAsia="MS Mincho" w:hAnsi="Cambria" w:cs="Times New Roman"/>
          <w:sz w:val="22"/>
          <w:szCs w:val="20"/>
          <w:lang w:val="es-MX"/>
        </w:rPr>
        <w:tab/>
      </w:r>
    </w:p>
    <w:p w14:paraId="0FA538BD" w14:textId="77777777" w:rsidR="003E548A" w:rsidRPr="0015722C" w:rsidRDefault="003E548A" w:rsidP="003E548A">
      <w:pPr>
        <w:tabs>
          <w:tab w:val="center" w:pos="4252"/>
          <w:tab w:val="right" w:pos="8504"/>
        </w:tabs>
        <w:ind w:left="709"/>
        <w:jc w:val="both"/>
        <w:rPr>
          <w:rFonts w:ascii="Helvetica" w:eastAsia="MS Mincho" w:hAnsi="Helvetica" w:cs="Times New Roman"/>
          <w:b/>
          <w:lang w:val="es-MX"/>
        </w:rPr>
      </w:pPr>
    </w:p>
    <w:p w14:paraId="507E51C6"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Historia</w:t>
      </w:r>
    </w:p>
    <w:p w14:paraId="1913EBBA"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C470D65" w14:textId="32DFC85F"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viene del náhuatl </w:t>
      </w:r>
      <w:proofErr w:type="spellStart"/>
      <w:r w:rsidRPr="00065574">
        <w:rPr>
          <w:rFonts w:ascii="Cambria" w:eastAsia="MS Mincho" w:hAnsi="Cambria" w:cs="Times New Roman"/>
          <w:b/>
          <w:bCs/>
          <w:i/>
          <w:iCs/>
          <w:sz w:val="22"/>
          <w:szCs w:val="20"/>
        </w:rPr>
        <w:t>Tuchtlán</w:t>
      </w:r>
      <w:proofErr w:type="spellEnd"/>
      <w:r w:rsidRPr="00065574">
        <w:rPr>
          <w:rFonts w:ascii="Cambria" w:eastAsia="MS Mincho" w:hAnsi="Cambria" w:cs="Times New Roman"/>
          <w:b/>
          <w:bCs/>
          <w:i/>
          <w:iCs/>
          <w:sz w:val="22"/>
          <w:szCs w:val="20"/>
        </w:rPr>
        <w:t> </w:t>
      </w:r>
      <w:r w:rsidRPr="00065574">
        <w:rPr>
          <w:rFonts w:ascii="Cambria" w:eastAsia="MS Mincho" w:hAnsi="Cambria" w:cs="Times New Roman"/>
          <w:sz w:val="22"/>
          <w:szCs w:val="20"/>
        </w:rPr>
        <w:t>que significa </w:t>
      </w:r>
      <w:r w:rsidRPr="00065574">
        <w:rPr>
          <w:rFonts w:ascii="Cambria" w:eastAsia="MS Mincho" w:hAnsi="Cambria" w:cs="Times New Roman"/>
          <w:b/>
          <w:bCs/>
          <w:sz w:val="22"/>
          <w:szCs w:val="20"/>
        </w:rPr>
        <w:t>lugar donde abundan los conejos</w:t>
      </w:r>
      <w:r w:rsidRPr="00065574">
        <w:rPr>
          <w:rFonts w:ascii="Cambria" w:eastAsia="MS Mincho" w:hAnsi="Cambria" w:cs="Times New Roman"/>
          <w:sz w:val="22"/>
          <w:szCs w:val="20"/>
        </w:rPr>
        <w:t>, para expresar la misma idea los antiguos zoques la llamaron</w:t>
      </w:r>
      <w:r w:rsidRPr="00065574">
        <w:rPr>
          <w:rFonts w:ascii="Cambria" w:eastAsia="MS Mincho" w:hAnsi="Cambria" w:cs="Times New Roman"/>
          <w:i/>
          <w:iCs/>
          <w:sz w:val="22"/>
          <w:szCs w:val="20"/>
        </w:rPr>
        <w:t> </w:t>
      </w:r>
      <w:proofErr w:type="spellStart"/>
      <w:r w:rsidRPr="00065574">
        <w:rPr>
          <w:rFonts w:ascii="Cambria" w:eastAsia="MS Mincho" w:hAnsi="Cambria" w:cs="Times New Roman"/>
          <w:i/>
          <w:iCs/>
          <w:sz w:val="22"/>
          <w:szCs w:val="20"/>
        </w:rPr>
        <w:t>Coyatoc</w:t>
      </w:r>
      <w:proofErr w:type="spellEnd"/>
      <w:r w:rsidRPr="00065574">
        <w:rPr>
          <w:rFonts w:ascii="Cambria" w:eastAsia="MS Mincho" w:hAnsi="Cambria" w:cs="Times New Roman"/>
          <w:sz w:val="22"/>
          <w:szCs w:val="20"/>
        </w:rPr>
        <w:t>. En honor al general Joaquín Miguel Gutiérrez se le dio el apellido Gutiérrez.</w:t>
      </w:r>
      <w:r w:rsidRPr="00065574">
        <w:rPr>
          <w:rFonts w:ascii="Open Sans" w:eastAsia="MS Mincho" w:hAnsi="Open Sans" w:cs="Times New Roman"/>
          <w:color w:val="000000"/>
          <w:sz w:val="20"/>
          <w:szCs w:val="20"/>
          <w:shd w:val="clear" w:color="auto" w:fill="FFFFFF"/>
        </w:rPr>
        <w:t xml:space="preserve"> </w:t>
      </w:r>
      <w:r w:rsidRPr="00065574">
        <w:rPr>
          <w:rFonts w:ascii="Cambria" w:eastAsia="MS Mincho" w:hAnsi="Cambria" w:cs="Times New Roman"/>
          <w:sz w:val="22"/>
          <w:szCs w:val="20"/>
        </w:rPr>
        <w:t xml:space="preserve">Con una población aproximada de </w:t>
      </w:r>
      <w:r w:rsidR="00056ED5">
        <w:rPr>
          <w:rFonts w:ascii="Cambria" w:eastAsia="MS Mincho" w:hAnsi="Cambria" w:cs="Times New Roman"/>
          <w:sz w:val="22"/>
          <w:szCs w:val="20"/>
        </w:rPr>
        <w:t>598</w:t>
      </w:r>
      <w:r w:rsidR="00B94999">
        <w:rPr>
          <w:rFonts w:ascii="Cambria" w:eastAsia="MS Mincho" w:hAnsi="Cambria" w:cs="Times New Roman"/>
          <w:sz w:val="22"/>
          <w:szCs w:val="20"/>
        </w:rPr>
        <w:t>,710</w:t>
      </w:r>
      <w:r w:rsidR="000D6D2F">
        <w:rPr>
          <w:rFonts w:ascii="Cambria" w:eastAsia="MS Mincho" w:hAnsi="Cambria" w:cs="Times New Roman"/>
          <w:sz w:val="22"/>
          <w:szCs w:val="20"/>
        </w:rPr>
        <w:t xml:space="preserve"> </w:t>
      </w:r>
      <w:r w:rsidRPr="00065574">
        <w:rPr>
          <w:rFonts w:ascii="Cambria" w:eastAsia="MS Mincho" w:hAnsi="Cambria" w:cs="Times New Roman"/>
          <w:sz w:val="22"/>
          <w:szCs w:val="20"/>
        </w:rPr>
        <w:t>habitantes</w:t>
      </w:r>
      <w:r w:rsidR="00B94999">
        <w:rPr>
          <w:rFonts w:ascii="Cambria" w:eastAsia="MS Mincho" w:hAnsi="Cambria" w:cs="Times New Roman"/>
          <w:sz w:val="22"/>
          <w:szCs w:val="20"/>
        </w:rPr>
        <w:t xml:space="preserve"> (</w:t>
      </w:r>
      <w:r w:rsidR="00A146AE">
        <w:rPr>
          <w:rFonts w:ascii="Cambria" w:eastAsia="MS Mincho" w:hAnsi="Cambria" w:cs="Times New Roman"/>
          <w:sz w:val="22"/>
          <w:szCs w:val="20"/>
        </w:rPr>
        <w:t>INEGI)</w:t>
      </w:r>
      <w:r w:rsidRPr="00065574">
        <w:rPr>
          <w:rFonts w:ascii="Cambria" w:eastAsia="MS Mincho" w:hAnsi="Cambria" w:cs="Times New Roman"/>
          <w:sz w:val="22"/>
          <w:szCs w:val="20"/>
        </w:rPr>
        <w:t>, su extensión territorial es de 412.4 km2 y se encuentra localizada en la parte central del estado a 550 m.s.n.m. El terreno es relativamente plano debido al declive que existe hacia el río Sabinal</w:t>
      </w:r>
    </w:p>
    <w:p w14:paraId="3CD9B8D4"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07946E64"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rPr>
        <w:t>Ciudad cálida por su gente y clima, en </w:t>
      </w: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se combina la riqueza cultural, atractivos naturales e infraestructura moderna que hacen de ella una estancia inolvidable para el turista que visita Chiapas</w:t>
      </w:r>
    </w:p>
    <w:p w14:paraId="645BAFD8"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2C75D02E"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San Marcos Tuxtla</w:t>
      </w:r>
      <w:r w:rsidRPr="00065574">
        <w:rPr>
          <w:rFonts w:ascii="Cambria" w:eastAsia="MS Mincho" w:hAnsi="Cambria" w:cs="Times New Roman"/>
          <w:sz w:val="22"/>
          <w:szCs w:val="20"/>
        </w:rPr>
        <w:t> se le denominó como homenaje al santo patrono de la iglesia principal que erigieron los jesuitas. En1813 las Cortes de Cádiz le dan categoría de Villa, en la misma cédula en que dan el rango de ciudad a Santa María de Comitán. La legislatura local eleva a la categoría de ciudad a San Marcos Tuxtla el 27 de julio de 1829</w:t>
      </w:r>
    </w:p>
    <w:p w14:paraId="3EC03EF7"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703C63CB"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xml:space="preserve"> está situada a 536 metros sobre el nivel del mar, en un valle abierto por el oriente, sin perder el horizonte montañoso, pues a lo lejos, más allá del río Grijalva se observan los perfiles azules de las lejanas montañas. Por el norte están las estribaciones montañosas que forman el cañón de El Sumidero, imponente fractura geográfica de esplendente e incomparable belleza. Al sur está la cordillera de Cerro hueco que forma la meseta de Copoya y culmina en un elevado cerro denominado </w:t>
      </w:r>
      <w:proofErr w:type="spellStart"/>
      <w:r w:rsidRPr="00065574">
        <w:rPr>
          <w:rFonts w:ascii="Cambria" w:eastAsia="MS Mincho" w:hAnsi="Cambria" w:cs="Times New Roman"/>
          <w:sz w:val="22"/>
          <w:szCs w:val="20"/>
        </w:rPr>
        <w:t>Mactumactzá</w:t>
      </w:r>
      <w:proofErr w:type="spellEnd"/>
      <w:r w:rsidRPr="00065574">
        <w:rPr>
          <w:rFonts w:ascii="Cambria" w:eastAsia="MS Mincho" w:hAnsi="Cambria" w:cs="Times New Roman"/>
          <w:sz w:val="22"/>
          <w:szCs w:val="20"/>
        </w:rPr>
        <w:t>, palabra zoque que suele traducirse como “once estrellas” y que simbolizan la luz permanente de la capital.</w:t>
      </w:r>
    </w:p>
    <w:p w14:paraId="57CD4952"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7982C240"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8630DEF" w14:textId="21BD3E4F" w:rsidR="003E548A" w:rsidRDefault="003E548A" w:rsidP="003E548A">
      <w:pPr>
        <w:tabs>
          <w:tab w:val="center" w:pos="4252"/>
          <w:tab w:val="right" w:pos="8504"/>
        </w:tabs>
        <w:ind w:left="709"/>
        <w:jc w:val="both"/>
        <w:rPr>
          <w:rFonts w:ascii="Helvetica" w:eastAsia="MS Mincho" w:hAnsi="Helvetica" w:cs="Times New Roman"/>
          <w:b/>
        </w:rPr>
      </w:pPr>
    </w:p>
    <w:p w14:paraId="740C29A6" w14:textId="11A6B40D" w:rsidR="00F146FF" w:rsidRDefault="00F146FF" w:rsidP="003E548A">
      <w:pPr>
        <w:tabs>
          <w:tab w:val="center" w:pos="4252"/>
          <w:tab w:val="right" w:pos="8504"/>
        </w:tabs>
        <w:ind w:left="709"/>
        <w:jc w:val="both"/>
        <w:rPr>
          <w:rFonts w:ascii="Helvetica" w:eastAsia="MS Mincho" w:hAnsi="Helvetica" w:cs="Times New Roman"/>
          <w:b/>
        </w:rPr>
      </w:pPr>
    </w:p>
    <w:p w14:paraId="43561C2E" w14:textId="77777777" w:rsidR="00F146FF" w:rsidRDefault="00F146FF" w:rsidP="003E548A">
      <w:pPr>
        <w:tabs>
          <w:tab w:val="center" w:pos="4252"/>
          <w:tab w:val="right" w:pos="8504"/>
        </w:tabs>
        <w:ind w:left="709"/>
        <w:jc w:val="both"/>
        <w:rPr>
          <w:rFonts w:ascii="Helvetica" w:eastAsia="MS Mincho" w:hAnsi="Helvetica" w:cs="Times New Roman"/>
          <w:b/>
        </w:rPr>
      </w:pPr>
    </w:p>
    <w:p w14:paraId="7B1A46E3" w14:textId="77777777" w:rsidR="00021607" w:rsidRDefault="00021607" w:rsidP="003E548A">
      <w:pPr>
        <w:tabs>
          <w:tab w:val="center" w:pos="4252"/>
          <w:tab w:val="right" w:pos="8504"/>
        </w:tabs>
        <w:ind w:left="709"/>
        <w:jc w:val="both"/>
        <w:rPr>
          <w:rFonts w:ascii="Helvetica" w:eastAsia="MS Mincho" w:hAnsi="Helvetica" w:cs="Times New Roman"/>
          <w:b/>
        </w:rPr>
      </w:pPr>
    </w:p>
    <w:p w14:paraId="3D58797C" w14:textId="77777777" w:rsidR="003E548A" w:rsidRDefault="003E548A" w:rsidP="003E548A">
      <w:pPr>
        <w:tabs>
          <w:tab w:val="center" w:pos="4252"/>
          <w:tab w:val="right" w:pos="8504"/>
        </w:tabs>
        <w:ind w:left="709"/>
        <w:jc w:val="both"/>
        <w:rPr>
          <w:rFonts w:ascii="Helvetica" w:eastAsia="MS Mincho" w:hAnsi="Helvetica" w:cs="Times New Roman"/>
          <w:b/>
        </w:rPr>
      </w:pPr>
    </w:p>
    <w:p w14:paraId="06396FCE" w14:textId="77777777" w:rsidR="003E548A" w:rsidRDefault="003E548A" w:rsidP="003E548A">
      <w:pPr>
        <w:tabs>
          <w:tab w:val="center" w:pos="4252"/>
          <w:tab w:val="right" w:pos="8504"/>
        </w:tabs>
        <w:ind w:left="709"/>
        <w:jc w:val="both"/>
        <w:rPr>
          <w:rFonts w:ascii="Helvetica" w:eastAsia="MS Mincho" w:hAnsi="Helvetica" w:cs="Times New Roman"/>
          <w:b/>
        </w:rPr>
      </w:pPr>
    </w:p>
    <w:p w14:paraId="6482D892"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Bases de Preparación de los Estados Financieros</w:t>
      </w:r>
    </w:p>
    <w:p w14:paraId="0ABB55B9"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4FD45746" w14:textId="77777777"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 xml:space="preserve">Fueron formulados en base a la Ley General de Contabilidad Gubernamental y los Acuerdos y Lineamientos emitidos por el Consejo de Armonización Contable (CONAC) y con base a la normatividad Hacendaria emitida </w:t>
      </w:r>
      <w:r w:rsidRPr="00A53649">
        <w:rPr>
          <w:rFonts w:ascii="Cambria" w:eastAsia="MS Mincho" w:hAnsi="Cambria" w:cs="Times New Roman"/>
          <w:sz w:val="22"/>
        </w:rPr>
        <w:t>por la Auditoría Superior del Estado.</w:t>
      </w:r>
    </w:p>
    <w:p w14:paraId="2024F3B2" w14:textId="77777777" w:rsidR="003E548A" w:rsidRDefault="003E548A" w:rsidP="003E548A">
      <w:pPr>
        <w:tabs>
          <w:tab w:val="center" w:pos="4252"/>
          <w:tab w:val="right" w:pos="8504"/>
        </w:tabs>
        <w:jc w:val="both"/>
        <w:rPr>
          <w:rFonts w:ascii="Cambria" w:eastAsia="MS Mincho" w:hAnsi="Cambria" w:cs="Times New Roman"/>
          <w:sz w:val="22"/>
        </w:rPr>
      </w:pPr>
    </w:p>
    <w:p w14:paraId="44A5B048" w14:textId="436B941B" w:rsidR="003E548A" w:rsidRPr="00065574" w:rsidRDefault="00F146FF" w:rsidP="00F146FF">
      <w:pPr>
        <w:tabs>
          <w:tab w:val="center" w:pos="4252"/>
          <w:tab w:val="right" w:pos="8504"/>
        </w:tabs>
        <w:ind w:left="709"/>
        <w:jc w:val="both"/>
        <w:rPr>
          <w:rFonts w:ascii="Helvetica" w:eastAsia="MS Mincho" w:hAnsi="Helvetica" w:cs="Times New Roman"/>
          <w:b/>
        </w:rPr>
      </w:pPr>
      <w:r>
        <w:rPr>
          <w:rFonts w:ascii="Helvetica" w:eastAsia="MS Mincho" w:hAnsi="Helvetica" w:cs="Times New Roman"/>
          <w:b/>
        </w:rPr>
        <w:tab/>
      </w:r>
      <w:r w:rsidR="003E548A" w:rsidRPr="00065574">
        <w:rPr>
          <w:rFonts w:ascii="Helvetica" w:eastAsia="MS Mincho" w:hAnsi="Helvetica" w:cs="Times New Roman"/>
          <w:b/>
        </w:rPr>
        <w:t>Características del Sistema de Contabilidad Gubernamental (SCG)</w:t>
      </w:r>
    </w:p>
    <w:p w14:paraId="236891F9" w14:textId="77777777" w:rsidR="003E548A" w:rsidRPr="00065574" w:rsidRDefault="003E548A" w:rsidP="003E548A">
      <w:pPr>
        <w:tabs>
          <w:tab w:val="center" w:pos="4252"/>
          <w:tab w:val="right" w:pos="8504"/>
        </w:tabs>
        <w:jc w:val="both"/>
        <w:rPr>
          <w:rFonts w:ascii="Helvetica" w:eastAsia="MS Mincho" w:hAnsi="Helvetica" w:cs="Times New Roman"/>
          <w:b/>
        </w:rPr>
      </w:pPr>
    </w:p>
    <w:p w14:paraId="7DB4D2CC"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que utiliza el Municipio para el registro de sus operaciones presupuestales y contables es el Sistema Integral de Administración Hacendaria Municipal (SIAHM), mismos que son los establecidos por la Auditoría Superior del Estado.</w:t>
      </w:r>
    </w:p>
    <w:p w14:paraId="1D07D80B"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50F7E241"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registra de manera armónica, delimitada y específica las operaciones presupuestarias y contables derivadas de los registros contables y presupuestarios, Asimismo, generará estados financieros, confiables, oportunos, comprensibles, periódicos y comparables.</w:t>
      </w:r>
    </w:p>
    <w:p w14:paraId="50AFC3A9"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01F20164"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Así mismo, el sistema efectúa los registros, procedimientos e informes, estructurados sobre la base de principios técnicos destinados a captar, valuar, registrar, clasificar, informar e interpretar, las transacciones y eventos que, derivados de la actividad económica del Municipio modifican la situación patrimonial del mismo.</w:t>
      </w:r>
    </w:p>
    <w:p w14:paraId="3C2C0862" w14:textId="77777777" w:rsidR="003E548A" w:rsidRPr="00065574" w:rsidRDefault="003E548A" w:rsidP="003E548A">
      <w:pPr>
        <w:tabs>
          <w:tab w:val="center" w:pos="4252"/>
          <w:tab w:val="right" w:pos="8504"/>
        </w:tabs>
        <w:ind w:left="709"/>
        <w:jc w:val="both"/>
        <w:rPr>
          <w:rFonts w:ascii="Cambria" w:eastAsia="MS Mincho" w:hAnsi="Cambria" w:cs="Times New Roman"/>
          <w:sz w:val="22"/>
        </w:rPr>
      </w:pPr>
    </w:p>
    <w:p w14:paraId="004A7425"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Políticas de Contabilidad Significativas</w:t>
      </w:r>
    </w:p>
    <w:p w14:paraId="43566012"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63B067F5" w14:textId="7D6F0F98"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14:paraId="28B62BF6"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01910CEE" w14:textId="4E16B6DB"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Respetando y utilizando los Momentos Contables de los Ingresos y Egresos, Estructura del Plan de Cuentas, Clasificador por Objeto de Gasto, Clasificador por Rubro de Ingresos y funcional del gasto; así como las Normas y Metodologías para la Emisión de Información Financiera y Estructura de los Estados Financieros que emitió el Consejo de Armonización Contable (CONAC).</w:t>
      </w:r>
    </w:p>
    <w:p w14:paraId="658E1283"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34A9C1A8" w14:textId="16691C82"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14:paraId="597776CD"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6F77108A"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La Clave Presupuestal fue elaborada respetando la Clasificación Administrativa, Funcional del Gasto, Programática, por Objeto de Gasto y tipo de Gasto y Fuente de Financiamiento.</w:t>
      </w:r>
    </w:p>
    <w:p w14:paraId="45C2608D"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4CFEDE5C"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68A540CB" w14:textId="77777777" w:rsidR="00731304" w:rsidRPr="001054A4" w:rsidRDefault="003E548A" w:rsidP="003E548A">
      <w:pPr>
        <w:tabs>
          <w:tab w:val="center" w:pos="4252"/>
          <w:tab w:val="right" w:pos="8504"/>
        </w:tabs>
        <w:ind w:left="709"/>
        <w:jc w:val="both"/>
        <w:rPr>
          <w:rFonts w:ascii="Calibri" w:hAnsi="Calibri"/>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sectPr w:rsidR="00731304" w:rsidRPr="001054A4" w:rsidSect="00F146FF">
      <w:headerReference w:type="default" r:id="rId6"/>
      <w:footerReference w:type="default" r:id="rId7"/>
      <w:pgSz w:w="12240" w:h="15840" w:code="1"/>
      <w:pgMar w:top="1701" w:right="1134" w:bottom="1418" w:left="1134" w:header="709"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42A0A" w14:textId="77777777" w:rsidR="00921466" w:rsidRDefault="00921466" w:rsidP="00BB1B81">
      <w:r>
        <w:separator/>
      </w:r>
    </w:p>
  </w:endnote>
  <w:endnote w:type="continuationSeparator" w:id="0">
    <w:p w14:paraId="646B588B" w14:textId="77777777" w:rsidR="00921466" w:rsidRDefault="00921466"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Arial"/>
    <w:panose1 w:val="00000000000000000000"/>
    <w:charset w:val="00"/>
    <w:family w:val="modern"/>
    <w:notTrueType/>
    <w:pitch w:val="variable"/>
    <w:sig w:usb0="20000207" w:usb1="00000001"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30E2F" w14:textId="77777777" w:rsidR="00234DA8" w:rsidRDefault="003E548A">
    <w:pPr>
      <w:pStyle w:val="Piedepgina"/>
    </w:pPr>
    <w:r>
      <w:rPr>
        <w:noProof/>
        <w:lang w:val="es-MX" w:eastAsia="es-MX"/>
      </w:rPr>
      <mc:AlternateContent>
        <mc:Choice Requires="wps">
          <w:drawing>
            <wp:anchor distT="0" distB="0" distL="114300" distR="114300" simplePos="0" relativeHeight="251662336" behindDoc="0" locked="0" layoutInCell="1" allowOverlap="1" wp14:anchorId="2D1E8F34" wp14:editId="3B4BCEAF">
              <wp:simplePos x="0" y="0"/>
              <wp:positionH relativeFrom="column">
                <wp:posOffset>2716530</wp:posOffset>
              </wp:positionH>
              <wp:positionV relativeFrom="paragraph">
                <wp:posOffset>-109220</wp:posOffset>
              </wp:positionV>
              <wp:extent cx="4116705" cy="6553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6705" cy="655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C80325" w14:textId="700F909D" w:rsidR="00E41DB1" w:rsidRPr="00F146FF" w:rsidRDefault="00E41DB1" w:rsidP="00F146FF">
                          <w:pPr>
                            <w:jc w:val="right"/>
                            <w:rPr>
                              <w:rFonts w:ascii="Exo 2" w:hAnsi="Exo 2"/>
                              <w:sz w:val="16"/>
                              <w:szCs w:val="16"/>
                            </w:rPr>
                          </w:pPr>
                          <w:r w:rsidRPr="00F146FF">
                            <w:rPr>
                              <w:rFonts w:ascii="Exo 2" w:hAnsi="Exo 2"/>
                              <w:sz w:val="16"/>
                              <w:szCs w:val="16"/>
                            </w:rPr>
                            <w:t xml:space="preserve">H. Ayuntamiento Constitucional de Tuxtla </w:t>
                          </w:r>
                          <w:r w:rsidR="00E041D9" w:rsidRPr="00F146FF">
                            <w:rPr>
                              <w:rFonts w:ascii="Exo 2" w:hAnsi="Exo 2"/>
                              <w:sz w:val="16"/>
                              <w:szCs w:val="16"/>
                            </w:rPr>
                            <w:t>Gutiérrez</w:t>
                          </w:r>
                          <w:r w:rsidR="00E041D9">
                            <w:rPr>
                              <w:rFonts w:ascii="Exo 2" w:hAnsi="Exo 2"/>
                              <w:sz w:val="16"/>
                              <w:szCs w:val="16"/>
                            </w:rPr>
                            <w:t>.</w:t>
                          </w:r>
                          <w:r w:rsidR="00E041D9" w:rsidRPr="00F146FF">
                            <w:rPr>
                              <w:rFonts w:ascii="Exo 2" w:hAnsi="Exo 2"/>
                              <w:sz w:val="16"/>
                              <w:szCs w:val="16"/>
                            </w:rPr>
                            <w:t xml:space="preserve"> Administración</w:t>
                          </w:r>
                          <w:r w:rsidR="00E606A7" w:rsidRPr="00F146FF">
                            <w:rPr>
                              <w:rFonts w:ascii="Exo 2" w:hAnsi="Exo 2"/>
                              <w:sz w:val="16"/>
                              <w:szCs w:val="16"/>
                            </w:rPr>
                            <w:t xml:space="preserve"> 2018 - </w:t>
                          </w:r>
                          <w:r w:rsidRPr="00F146FF">
                            <w:rPr>
                              <w:rFonts w:ascii="Exo 2" w:hAnsi="Exo 2"/>
                              <w:sz w:val="16"/>
                              <w:szCs w:val="16"/>
                            </w:rPr>
                            <w:t>2021</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1E8F34" id="_x0000_t202" coordsize="21600,21600" o:spt="202" path="m,l,21600r21600,l21600,xe">
              <v:stroke joinstyle="miter"/>
              <v:path gradientshapeok="t" o:connecttype="rect"/>
            </v:shapetype>
            <v:shape id="Cuadro de texto 6" o:spid="_x0000_s1027" type="#_x0000_t202" style="position:absolute;margin-left:213.9pt;margin-top:-8.6pt;width:324.1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" filled="f" stroked="f">
              <v:textbox>
                <w:txbxContent>
                  <w:p w14:paraId="77C80325" w14:textId="700F909D" w:rsidR="00E41DB1" w:rsidRPr="00F146FF" w:rsidRDefault="00E41DB1" w:rsidP="00F146FF">
                    <w:pPr>
                      <w:jc w:val="right"/>
                      <w:rPr>
                        <w:rFonts w:ascii="Exo 2" w:hAnsi="Exo 2"/>
                        <w:sz w:val="16"/>
                        <w:szCs w:val="16"/>
                      </w:rPr>
                    </w:pPr>
                    <w:r w:rsidRPr="00F146FF">
                      <w:rPr>
                        <w:rFonts w:ascii="Exo 2" w:hAnsi="Exo 2"/>
                        <w:sz w:val="16"/>
                        <w:szCs w:val="16"/>
                      </w:rPr>
                      <w:t xml:space="preserve">H. Ayuntamiento Constitucional de Tuxtla </w:t>
                    </w:r>
                    <w:r w:rsidR="00E041D9" w:rsidRPr="00F146FF">
                      <w:rPr>
                        <w:rFonts w:ascii="Exo 2" w:hAnsi="Exo 2"/>
                        <w:sz w:val="16"/>
                        <w:szCs w:val="16"/>
                      </w:rPr>
                      <w:t>Gutiérrez</w:t>
                    </w:r>
                    <w:r w:rsidR="00E041D9">
                      <w:rPr>
                        <w:rFonts w:ascii="Exo 2" w:hAnsi="Exo 2"/>
                        <w:sz w:val="16"/>
                        <w:szCs w:val="16"/>
                      </w:rPr>
                      <w:t>.</w:t>
                    </w:r>
                    <w:r w:rsidR="00E041D9" w:rsidRPr="00F146FF">
                      <w:rPr>
                        <w:rFonts w:ascii="Exo 2" w:hAnsi="Exo 2"/>
                        <w:sz w:val="16"/>
                        <w:szCs w:val="16"/>
                      </w:rPr>
                      <w:t xml:space="preserve"> Administración</w:t>
                    </w:r>
                    <w:r w:rsidR="00E606A7" w:rsidRPr="00F146FF">
                      <w:rPr>
                        <w:rFonts w:ascii="Exo 2" w:hAnsi="Exo 2"/>
                        <w:sz w:val="16"/>
                        <w:szCs w:val="16"/>
                      </w:rPr>
                      <w:t xml:space="preserve"> 2018 - </w:t>
                    </w:r>
                    <w:r w:rsidRPr="00F146FF">
                      <w:rPr>
                        <w:rFonts w:ascii="Exo 2" w:hAnsi="Exo 2"/>
                        <w:sz w:val="16"/>
                        <w:szCs w:val="16"/>
                      </w:rPr>
                      <w:t>2021</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v:textbox>
            </v:shape>
          </w:pict>
        </mc:Fallback>
      </mc:AlternateContent>
    </w:r>
  </w:p>
  <w:p w14:paraId="7443F48B" w14:textId="77777777" w:rsidR="00234DA8" w:rsidRDefault="00234DA8">
    <w:pPr>
      <w:pStyle w:val="Piedepgina"/>
    </w:pPr>
  </w:p>
  <w:p w14:paraId="6E095FAB" w14:textId="77777777" w:rsidR="00BB1B81" w:rsidRDefault="003E548A">
    <w:pPr>
      <w:pStyle w:val="Piedepgina"/>
    </w:pPr>
    <w:r>
      <w:rPr>
        <w:noProof/>
        <w:lang w:val="es-MX" w:eastAsia="es-MX"/>
      </w:rPr>
      <mc:AlternateContent>
        <mc:Choice Requires="wps">
          <w:drawing>
            <wp:anchor distT="0" distB="0" distL="114300" distR="114300" simplePos="0" relativeHeight="251663360" behindDoc="0" locked="0" layoutInCell="1" allowOverlap="1" wp14:anchorId="2F16182B" wp14:editId="7DA9F465">
              <wp:simplePos x="0" y="0"/>
              <wp:positionH relativeFrom="column">
                <wp:posOffset>5081270</wp:posOffset>
              </wp:positionH>
              <wp:positionV relativeFrom="paragraph">
                <wp:posOffset>360045</wp:posOffset>
              </wp:positionV>
              <wp:extent cx="1709420" cy="2762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9420"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6182B" id="Cuadro de texto 7" o:spid="_x0000_s1028" type="#_x0000_t202" style="position:absolute;margin-left:400.1pt;margin-top:28.35pt;width:134.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" filled="f" stroked="f">
              <v:textbo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r>
      <w:rPr>
        <w:noProof/>
        <w:lang w:val="es-MX" w:eastAsia="es-MX"/>
      </w:rPr>
      <mc:AlternateContent>
        <mc:Choice Requires="wps">
          <w:drawing>
            <wp:anchor distT="0" distB="0" distL="114300" distR="114300" simplePos="0" relativeHeight="251660288" behindDoc="1" locked="0" layoutInCell="1" allowOverlap="1" wp14:anchorId="7C11D188" wp14:editId="52A03E93">
              <wp:simplePos x="0" y="0"/>
              <wp:positionH relativeFrom="page">
                <wp:posOffset>219075</wp:posOffset>
              </wp:positionH>
              <wp:positionV relativeFrom="paragraph">
                <wp:posOffset>135890</wp:posOffset>
              </wp:positionV>
              <wp:extent cx="9639300" cy="4254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9300" cy="4254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6FDA5" w14:textId="77777777" w:rsidR="00BB1B81" w:rsidRPr="00BB1B81" w:rsidRDefault="00BB1B81"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11D188" id="Rectángulo 2" o:spid="_x0000_s1029" style="position:absolute;margin-left:17.25pt;margin-top:10.7pt;width:759pt;height:3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" fillcolor="gray [1629]" stroked="f" strokeweight="1pt">
              <v:textbox>
                <w:txbxContent>
                  <w:p w14:paraId="72A6FDA5" w14:textId="77777777" w:rsidR="00BB1B81" w:rsidRPr="00BB1B81" w:rsidRDefault="00BB1B81" w:rsidP="00BB1B81">
                    <w:pPr>
                      <w:rPr>
                        <w:lang w:val="es-ES"/>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C4AA7" w14:textId="77777777" w:rsidR="00921466" w:rsidRDefault="00921466" w:rsidP="00BB1B81">
      <w:r>
        <w:separator/>
      </w:r>
    </w:p>
  </w:footnote>
  <w:footnote w:type="continuationSeparator" w:id="0">
    <w:p w14:paraId="55A4CC01" w14:textId="77777777" w:rsidR="00921466" w:rsidRDefault="00921466" w:rsidP="00BB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EA0AC" w14:textId="77777777" w:rsidR="00BB1B81" w:rsidRDefault="003E548A">
    <w:pPr>
      <w:pStyle w:val="Encabezado"/>
    </w:pPr>
    <w:r>
      <w:rPr>
        <w:noProof/>
        <w:lang w:val="es-MX" w:eastAsia="es-MX"/>
      </w:rPr>
      <mc:AlternateContent>
        <mc:Choice Requires="wps">
          <w:drawing>
            <wp:anchor distT="0" distB="0" distL="114300" distR="114300" simplePos="0" relativeHeight="251661312" behindDoc="0" locked="0" layoutInCell="1" allowOverlap="1" wp14:anchorId="62EA1535" wp14:editId="493C7A8E">
              <wp:simplePos x="0" y="0"/>
              <wp:positionH relativeFrom="column">
                <wp:posOffset>3987165</wp:posOffset>
              </wp:positionH>
              <wp:positionV relativeFrom="paragraph">
                <wp:posOffset>178435</wp:posOffset>
              </wp:positionV>
              <wp:extent cx="2713990" cy="46672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3990" cy="466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EA1535" id="_x0000_t202" coordsize="21600,21600" o:spt="202" path="m,l,21600r21600,l21600,xe">
              <v:stroke joinstyle="miter"/>
              <v:path gradientshapeok="t" o:connecttype="rect"/>
            </v:shapetype>
            <v:shape id="Cuadro de texto 4" o:spid="_x0000_s1026" type="#_x0000_t202" style="position:absolute;margin-left:313.95pt;margin-top:14.05pt;width:213.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" filled="f" stroked="f">
              <v:textbo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v:textbox>
            </v:shape>
          </w:pict>
        </mc:Fallback>
      </mc:AlternateContent>
    </w:r>
    <w:r>
      <w:rPr>
        <w:noProof/>
        <w:lang w:val="es-MX" w:eastAsia="es-MX"/>
      </w:rPr>
      <w:drawing>
        <wp:anchor distT="0" distB="0" distL="114300" distR="114300" simplePos="0" relativeHeight="251659264" behindDoc="1" locked="0" layoutInCell="1" allowOverlap="1" wp14:anchorId="30366D6F" wp14:editId="3310F89E">
          <wp:simplePos x="0" y="0"/>
          <wp:positionH relativeFrom="margin">
            <wp:posOffset>-710565</wp:posOffset>
          </wp:positionH>
          <wp:positionV relativeFrom="paragraph">
            <wp:posOffset>-393065</wp:posOffset>
          </wp:positionV>
          <wp:extent cx="8162925" cy="148844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afatkalebhernandez/Desktop/encabezado_membr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62925" cy="1488440"/>
                  </a:xfrm>
                  <a:prstGeom prst="rect">
                    <a:avLst/>
                  </a:prstGeom>
                  <a:noFill/>
                  <a:ln>
                    <a:noFill/>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81"/>
    <w:rsid w:val="00021607"/>
    <w:rsid w:val="000313F8"/>
    <w:rsid w:val="00035D1F"/>
    <w:rsid w:val="00046646"/>
    <w:rsid w:val="00056ED5"/>
    <w:rsid w:val="00066C92"/>
    <w:rsid w:val="000760A7"/>
    <w:rsid w:val="00081D90"/>
    <w:rsid w:val="0008457A"/>
    <w:rsid w:val="00097B75"/>
    <w:rsid w:val="000D2029"/>
    <w:rsid w:val="000D40C9"/>
    <w:rsid w:val="000D6D2F"/>
    <w:rsid w:val="001054A4"/>
    <w:rsid w:val="001641E4"/>
    <w:rsid w:val="00180521"/>
    <w:rsid w:val="001A03C0"/>
    <w:rsid w:val="001A311B"/>
    <w:rsid w:val="001A4B93"/>
    <w:rsid w:val="001B065C"/>
    <w:rsid w:val="001C1DDD"/>
    <w:rsid w:val="00200236"/>
    <w:rsid w:val="002171A3"/>
    <w:rsid w:val="00234DA8"/>
    <w:rsid w:val="0024049D"/>
    <w:rsid w:val="0027025F"/>
    <w:rsid w:val="002A5CB2"/>
    <w:rsid w:val="002D59BD"/>
    <w:rsid w:val="002F679E"/>
    <w:rsid w:val="00373664"/>
    <w:rsid w:val="003B17D8"/>
    <w:rsid w:val="003B3984"/>
    <w:rsid w:val="003E548A"/>
    <w:rsid w:val="004060A8"/>
    <w:rsid w:val="004430FA"/>
    <w:rsid w:val="004C3796"/>
    <w:rsid w:val="004D0817"/>
    <w:rsid w:val="00543867"/>
    <w:rsid w:val="00554463"/>
    <w:rsid w:val="005C4F13"/>
    <w:rsid w:val="00670F8B"/>
    <w:rsid w:val="006714B4"/>
    <w:rsid w:val="00677331"/>
    <w:rsid w:val="00686DF2"/>
    <w:rsid w:val="00695A45"/>
    <w:rsid w:val="006A5D28"/>
    <w:rsid w:val="006C4CAF"/>
    <w:rsid w:val="006C565B"/>
    <w:rsid w:val="006D38B5"/>
    <w:rsid w:val="006D4F5D"/>
    <w:rsid w:val="006E115E"/>
    <w:rsid w:val="00715D0A"/>
    <w:rsid w:val="00731304"/>
    <w:rsid w:val="0077714D"/>
    <w:rsid w:val="007A321E"/>
    <w:rsid w:val="007B36E9"/>
    <w:rsid w:val="007D0CA5"/>
    <w:rsid w:val="007D1CC1"/>
    <w:rsid w:val="007D7C50"/>
    <w:rsid w:val="00826991"/>
    <w:rsid w:val="00831673"/>
    <w:rsid w:val="00844084"/>
    <w:rsid w:val="00865B8B"/>
    <w:rsid w:val="00890EFA"/>
    <w:rsid w:val="008A1FA3"/>
    <w:rsid w:val="008A30B0"/>
    <w:rsid w:val="008B7480"/>
    <w:rsid w:val="008C086F"/>
    <w:rsid w:val="00914752"/>
    <w:rsid w:val="00921466"/>
    <w:rsid w:val="00944B0A"/>
    <w:rsid w:val="00945246"/>
    <w:rsid w:val="009458D7"/>
    <w:rsid w:val="00960C24"/>
    <w:rsid w:val="009B2D96"/>
    <w:rsid w:val="00A02131"/>
    <w:rsid w:val="00A146AE"/>
    <w:rsid w:val="00A174D8"/>
    <w:rsid w:val="00A51D49"/>
    <w:rsid w:val="00A536A9"/>
    <w:rsid w:val="00A576D8"/>
    <w:rsid w:val="00A65829"/>
    <w:rsid w:val="00A75B80"/>
    <w:rsid w:val="00AB72A3"/>
    <w:rsid w:val="00AC46C3"/>
    <w:rsid w:val="00AF0CFD"/>
    <w:rsid w:val="00AF3A27"/>
    <w:rsid w:val="00B01BA2"/>
    <w:rsid w:val="00B42B15"/>
    <w:rsid w:val="00B51DAA"/>
    <w:rsid w:val="00B94999"/>
    <w:rsid w:val="00BB1B81"/>
    <w:rsid w:val="00BE3821"/>
    <w:rsid w:val="00C24103"/>
    <w:rsid w:val="00C24F81"/>
    <w:rsid w:val="00C97DE8"/>
    <w:rsid w:val="00D25972"/>
    <w:rsid w:val="00D327B4"/>
    <w:rsid w:val="00DC73E7"/>
    <w:rsid w:val="00E041D9"/>
    <w:rsid w:val="00E41DB1"/>
    <w:rsid w:val="00E606A7"/>
    <w:rsid w:val="00E74F33"/>
    <w:rsid w:val="00E8428F"/>
    <w:rsid w:val="00E858C6"/>
    <w:rsid w:val="00E93076"/>
    <w:rsid w:val="00EB4AF4"/>
    <w:rsid w:val="00EF5385"/>
    <w:rsid w:val="00F146FF"/>
    <w:rsid w:val="00F44A9D"/>
    <w:rsid w:val="00F4668A"/>
    <w:rsid w:val="00F52F0F"/>
    <w:rsid w:val="00F856E5"/>
    <w:rsid w:val="00FB084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3CD19"/>
  <w15:docId w15:val="{C94105ED-83D8-4D2B-8CA9-CC347823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C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NormalWeb">
    <w:name w:val="Normal (Web)"/>
    <w:basedOn w:val="Normal"/>
    <w:uiPriority w:val="99"/>
    <w:unhideWhenUsed/>
    <w:rsid w:val="00C97DE8"/>
    <w:pPr>
      <w:spacing w:before="100" w:beforeAutospacing="1" w:after="119"/>
    </w:pPr>
    <w:rPr>
      <w:rFonts w:ascii="Times New Roman" w:eastAsia="Times New Roman" w:hAnsi="Times New Roman" w:cs="Times New Roman"/>
      <w:lang w:val="es-ES" w:eastAsia="es-ES"/>
    </w:rPr>
  </w:style>
  <w:style w:type="table" w:styleId="Tablaconcuadrcula">
    <w:name w:val="Table Grid"/>
    <w:basedOn w:val="Tablanormal"/>
    <w:uiPriority w:val="59"/>
    <w:rsid w:val="00C97DE8"/>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1054A4"/>
    <w:pPr>
      <w:widowControl w:val="0"/>
      <w:autoSpaceDE w:val="0"/>
      <w:autoSpaceDN w:val="0"/>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1054A4"/>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Flavio Angel Hernandez Rios</cp:lastModifiedBy>
  <cp:revision>2</cp:revision>
  <cp:lastPrinted>2018-10-22T20:33:00Z</cp:lastPrinted>
  <dcterms:created xsi:type="dcterms:W3CDTF">2021-11-03T19:24:00Z</dcterms:created>
  <dcterms:modified xsi:type="dcterms:W3CDTF">2021-11-03T19:24:00Z</dcterms:modified>
</cp:coreProperties>
</file>