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00ECC" w14:textId="77777777" w:rsidR="004B2E80" w:rsidRPr="006E1924" w:rsidRDefault="004B2E80" w:rsidP="008C592C">
      <w:pPr>
        <w:jc w:val="center"/>
        <w:rPr>
          <w:rFonts w:ascii="Helvetica" w:hAnsi="Helvetica"/>
          <w:b/>
          <w:bCs/>
          <w:kern w:val="32"/>
        </w:rPr>
      </w:pPr>
      <w:bookmarkStart w:id="0" w:name="_GoBack"/>
      <w:bookmarkEnd w:id="0"/>
      <w:r w:rsidRPr="006E1924">
        <w:rPr>
          <w:rFonts w:ascii="Helvetica" w:hAnsi="Helvetica"/>
          <w:b/>
          <w:bCs/>
          <w:kern w:val="32"/>
        </w:rPr>
        <w:t>NOTAS DE GESTIÓN ADMINISTRATIVA</w:t>
      </w:r>
    </w:p>
    <w:p w14:paraId="71B7605F" w14:textId="1087633A" w:rsidR="008C592C" w:rsidRDefault="008C592C" w:rsidP="008E5694">
      <w:pPr>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 xml:space="preserve">01 DE </w:t>
      </w:r>
      <w:r w:rsidR="0099024F">
        <w:rPr>
          <w:rFonts w:ascii="Century Gothic" w:hAnsi="Century Gothic" w:cs="Arial"/>
          <w:sz w:val="22"/>
          <w:szCs w:val="22"/>
        </w:rPr>
        <w:t>ENERO</w:t>
      </w:r>
      <w:r>
        <w:rPr>
          <w:rFonts w:ascii="Century Gothic" w:hAnsi="Century Gothic" w:cs="Arial"/>
          <w:sz w:val="22"/>
          <w:szCs w:val="22"/>
        </w:rPr>
        <w:t xml:space="preserve"> AL 30 DE JUNIO</w:t>
      </w:r>
      <w:r w:rsidR="008E5694">
        <w:rPr>
          <w:rFonts w:ascii="Century Gothic" w:hAnsi="Century Gothic" w:cs="Arial"/>
          <w:sz w:val="22"/>
          <w:szCs w:val="22"/>
        </w:rPr>
        <w:t xml:space="preserve"> DE 2018</w:t>
      </w:r>
    </w:p>
    <w:p w14:paraId="344E77D6" w14:textId="77777777" w:rsidR="006E1924" w:rsidRDefault="006E1924" w:rsidP="004B2E80">
      <w:pPr>
        <w:pStyle w:val="Piedepgina"/>
        <w:ind w:left="709"/>
        <w:jc w:val="both"/>
        <w:rPr>
          <w:rFonts w:ascii="Helvetica" w:hAnsi="Helvetica"/>
          <w:b/>
        </w:rPr>
      </w:pPr>
    </w:p>
    <w:p w14:paraId="3C6FDA76" w14:textId="77777777" w:rsidR="00031657" w:rsidRPr="00065574" w:rsidRDefault="00031657" w:rsidP="00031657">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Introducción</w:t>
      </w:r>
    </w:p>
    <w:p w14:paraId="2A1CA55A"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28004849" w14:textId="77777777" w:rsidR="00031657" w:rsidRPr="00065574" w:rsidRDefault="00031657" w:rsidP="00031657">
      <w:pPr>
        <w:widowControl w:val="0"/>
        <w:tabs>
          <w:tab w:val="left" w:pos="6075"/>
        </w:tabs>
        <w:jc w:val="both"/>
        <w:rPr>
          <w:rFonts w:ascii="Cambria" w:eastAsia="MS Mincho" w:hAnsi="Cambria" w:cs="Times New Roman"/>
          <w:sz w:val="22"/>
          <w:szCs w:val="22"/>
          <w:lang w:val="es-MX" w:eastAsia="en-US"/>
        </w:rPr>
      </w:pPr>
      <w:r w:rsidRPr="00065574">
        <w:rPr>
          <w:rFonts w:ascii="Cambria" w:eastAsia="MS Mincho" w:hAnsi="Cambria" w:cs="Times New Roman"/>
          <w:sz w:val="22"/>
          <w:szCs w:val="22"/>
          <w:lang w:val="es-MX" w:eastAsia="en-US"/>
        </w:rPr>
        <w:t>De conformidad con lo que establece la Ley General de Contabilidad Gubernamental y los Lineamientos emitidos por el Consejo Nacional de Armonización Contable (CONAC) y demás disposiciones que establecen las diversas instancias que tienen injerencia en esta materia, se presentan los Estados Financieros correspondientes al ejercicio fiscal 2018.</w:t>
      </w:r>
    </w:p>
    <w:p w14:paraId="2DE1E326" w14:textId="77777777" w:rsidR="00031657" w:rsidRPr="00065574" w:rsidRDefault="00031657" w:rsidP="00031657">
      <w:pPr>
        <w:widowControl w:val="0"/>
        <w:tabs>
          <w:tab w:val="left" w:pos="6075"/>
        </w:tabs>
        <w:jc w:val="both"/>
        <w:rPr>
          <w:rFonts w:ascii="Cambria" w:eastAsia="MS Mincho" w:hAnsi="Cambria" w:cs="Times New Roman"/>
          <w:sz w:val="22"/>
          <w:szCs w:val="22"/>
          <w:lang w:val="es-MX" w:eastAsia="en-US"/>
        </w:rPr>
      </w:pPr>
    </w:p>
    <w:p w14:paraId="4DD3FF59" w14:textId="77777777" w:rsidR="00031657" w:rsidRPr="00065574" w:rsidRDefault="00031657" w:rsidP="00031657">
      <w:pPr>
        <w:widowControl w:val="0"/>
        <w:tabs>
          <w:tab w:val="left" w:pos="6075"/>
        </w:tabs>
        <w:jc w:val="both"/>
        <w:rPr>
          <w:rFonts w:ascii="Cambria" w:eastAsia="MS Mincho" w:hAnsi="Cambria" w:cs="Times New Roman"/>
          <w:sz w:val="22"/>
          <w:szCs w:val="22"/>
          <w:lang w:val="es-MX" w:eastAsia="en-US"/>
        </w:rPr>
      </w:pPr>
      <w:r w:rsidRPr="00065574">
        <w:rPr>
          <w:rFonts w:ascii="Cambria" w:eastAsia="MS Mincho" w:hAnsi="Cambria" w:cs="Times New Roman"/>
          <w:sz w:val="22"/>
          <w:szCs w:val="22"/>
          <w:lang w:val="es-MX" w:eastAsia="en-US"/>
        </w:rPr>
        <w:t>Estos documentos expresan las transacciones y operaciones económicas realizadas por las Áreas Administrativas que conforman el Ayuntamiento.</w:t>
      </w:r>
    </w:p>
    <w:p w14:paraId="58F7CB4D"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353F3E3D" w14:textId="6EE43CAE"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sz w:val="22"/>
          <w:szCs w:val="20"/>
          <w:lang w:val="es-MX" w:eastAsia="en-US"/>
        </w:rPr>
        <w:t xml:space="preserve">Para una mayor exposición de la información financiera se incluyen diversas notas que amplían el contexto dentro del cual se generaron los datos. Con el mismo fin, a continuación, se presenta una breve descripción de la estructura y el contenido de la Información Financiera del Gobierno </w:t>
      </w:r>
      <w:r w:rsidR="00F574BA">
        <w:rPr>
          <w:rFonts w:ascii="Cambria" w:eastAsia="MS Mincho" w:hAnsi="Cambria" w:cs="Times New Roman"/>
          <w:sz w:val="22"/>
          <w:szCs w:val="20"/>
          <w:lang w:val="es-MX" w:eastAsia="en-US"/>
        </w:rPr>
        <w:t>Municipal</w:t>
      </w:r>
      <w:r w:rsidRPr="00065574">
        <w:rPr>
          <w:rFonts w:ascii="Cambria" w:eastAsia="MS Mincho" w:hAnsi="Cambria" w:cs="Times New Roman"/>
          <w:sz w:val="22"/>
          <w:szCs w:val="20"/>
          <w:lang w:val="es-MX" w:eastAsia="en-US"/>
        </w:rPr>
        <w:t xml:space="preserve"> de Tuxtla Gutiérrez, Chiapas;  para el ejercicio fiscal 2018.</w:t>
      </w:r>
      <w:r w:rsidRPr="00065574">
        <w:rPr>
          <w:rFonts w:ascii="Cambria" w:eastAsia="MS Mincho" w:hAnsi="Cambria" w:cs="Times New Roman"/>
          <w:sz w:val="22"/>
          <w:szCs w:val="20"/>
          <w:lang w:val="es-MX" w:eastAsia="en-US"/>
        </w:rPr>
        <w:tab/>
      </w:r>
    </w:p>
    <w:p w14:paraId="564367E6"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72F5D62B" w14:textId="77777777" w:rsidR="00031657" w:rsidRPr="00065574" w:rsidRDefault="00031657" w:rsidP="00031657">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Historia</w:t>
      </w:r>
    </w:p>
    <w:p w14:paraId="5C2613E0"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3BD553B7"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b/>
          <w:bCs/>
          <w:sz w:val="22"/>
          <w:szCs w:val="20"/>
          <w:lang w:eastAsia="en-US"/>
        </w:rPr>
        <w:t>Tuxtla viene del náhuatl </w:t>
      </w:r>
      <w:proofErr w:type="spellStart"/>
      <w:r w:rsidRPr="00065574">
        <w:rPr>
          <w:rFonts w:ascii="Cambria" w:eastAsia="MS Mincho" w:hAnsi="Cambria" w:cs="Times New Roman"/>
          <w:b/>
          <w:bCs/>
          <w:i/>
          <w:iCs/>
          <w:sz w:val="22"/>
          <w:szCs w:val="20"/>
          <w:lang w:eastAsia="en-US"/>
        </w:rPr>
        <w:t>Tuchtlán</w:t>
      </w:r>
      <w:proofErr w:type="spellEnd"/>
      <w:r w:rsidRPr="00065574">
        <w:rPr>
          <w:rFonts w:ascii="Cambria" w:eastAsia="MS Mincho" w:hAnsi="Cambria" w:cs="Times New Roman"/>
          <w:b/>
          <w:bCs/>
          <w:i/>
          <w:iCs/>
          <w:sz w:val="22"/>
          <w:szCs w:val="20"/>
          <w:lang w:eastAsia="en-US"/>
        </w:rPr>
        <w:t> </w:t>
      </w:r>
      <w:r w:rsidRPr="00065574">
        <w:rPr>
          <w:rFonts w:ascii="Cambria" w:eastAsia="MS Mincho" w:hAnsi="Cambria" w:cs="Times New Roman"/>
          <w:sz w:val="22"/>
          <w:szCs w:val="20"/>
          <w:lang w:eastAsia="en-US"/>
        </w:rPr>
        <w:t>que significa </w:t>
      </w:r>
      <w:r w:rsidRPr="00065574">
        <w:rPr>
          <w:rFonts w:ascii="Cambria" w:eastAsia="MS Mincho" w:hAnsi="Cambria" w:cs="Times New Roman"/>
          <w:b/>
          <w:bCs/>
          <w:sz w:val="22"/>
          <w:szCs w:val="20"/>
          <w:lang w:eastAsia="en-US"/>
        </w:rPr>
        <w:t>lugar donde abundan los conejos</w:t>
      </w:r>
      <w:r w:rsidRPr="00065574">
        <w:rPr>
          <w:rFonts w:ascii="Cambria" w:eastAsia="MS Mincho" w:hAnsi="Cambria" w:cs="Times New Roman"/>
          <w:sz w:val="22"/>
          <w:szCs w:val="20"/>
          <w:lang w:eastAsia="en-US"/>
        </w:rPr>
        <w:t>, para expresar la misma idea los antiguos zoques la llamaron</w:t>
      </w:r>
      <w:r w:rsidRPr="00065574">
        <w:rPr>
          <w:rFonts w:ascii="Cambria" w:eastAsia="MS Mincho" w:hAnsi="Cambria" w:cs="Times New Roman"/>
          <w:i/>
          <w:iCs/>
          <w:sz w:val="22"/>
          <w:szCs w:val="20"/>
          <w:lang w:eastAsia="en-US"/>
        </w:rPr>
        <w:t> </w:t>
      </w:r>
      <w:proofErr w:type="spellStart"/>
      <w:r w:rsidRPr="00065574">
        <w:rPr>
          <w:rFonts w:ascii="Cambria" w:eastAsia="MS Mincho" w:hAnsi="Cambria" w:cs="Times New Roman"/>
          <w:i/>
          <w:iCs/>
          <w:sz w:val="22"/>
          <w:szCs w:val="20"/>
          <w:lang w:eastAsia="en-US"/>
        </w:rPr>
        <w:t>Coyatoc</w:t>
      </w:r>
      <w:proofErr w:type="spellEnd"/>
      <w:r w:rsidRPr="00065574">
        <w:rPr>
          <w:rFonts w:ascii="Cambria" w:eastAsia="MS Mincho" w:hAnsi="Cambria" w:cs="Times New Roman"/>
          <w:sz w:val="22"/>
          <w:szCs w:val="20"/>
          <w:lang w:eastAsia="en-US"/>
        </w:rPr>
        <w:t>. En honor al general Joaquín Miguel Gutiérrez se le dio el apellido Gutiérrez.</w:t>
      </w:r>
      <w:r w:rsidRPr="00065574">
        <w:rPr>
          <w:rFonts w:ascii="Open Sans" w:eastAsia="MS Mincho" w:hAnsi="Open Sans" w:cs="Times New Roman"/>
          <w:color w:val="000000"/>
          <w:sz w:val="20"/>
          <w:szCs w:val="20"/>
          <w:shd w:val="clear" w:color="auto" w:fill="FFFFFF"/>
        </w:rPr>
        <w:t xml:space="preserve"> </w:t>
      </w:r>
      <w:r w:rsidRPr="00065574">
        <w:rPr>
          <w:rFonts w:ascii="Cambria" w:eastAsia="MS Mincho" w:hAnsi="Cambria" w:cs="Times New Roman"/>
          <w:sz w:val="22"/>
          <w:szCs w:val="20"/>
          <w:lang w:eastAsia="en-US"/>
        </w:rPr>
        <w:t>Con una población aproximada de 434,143 habitantes, su extensión territorial es de 412.4 km2 y se encuentra localizada en la parte central del estado a 550 m.s.n.m. El terreno es relativamente plano debido al declive que existe hacia el río Sabinal</w:t>
      </w:r>
    </w:p>
    <w:p w14:paraId="01F95712"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558DFADF"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sz w:val="22"/>
          <w:szCs w:val="20"/>
          <w:lang w:eastAsia="en-US"/>
        </w:rPr>
        <w:t>Ciudad cálida por su gente y clima, en </w:t>
      </w:r>
      <w:r w:rsidRPr="00065574">
        <w:rPr>
          <w:rFonts w:ascii="Cambria" w:eastAsia="MS Mincho" w:hAnsi="Cambria" w:cs="Times New Roman"/>
          <w:b/>
          <w:bCs/>
          <w:sz w:val="22"/>
          <w:szCs w:val="20"/>
          <w:lang w:eastAsia="en-US"/>
        </w:rPr>
        <w:t>Tuxtla Gutiérrez</w:t>
      </w:r>
      <w:r w:rsidRPr="00065574">
        <w:rPr>
          <w:rFonts w:ascii="Cambria" w:eastAsia="MS Mincho" w:hAnsi="Cambria" w:cs="Times New Roman"/>
          <w:sz w:val="22"/>
          <w:szCs w:val="20"/>
          <w:lang w:eastAsia="en-US"/>
        </w:rPr>
        <w:t> se combina la riqueza cultural, atractivos naturales e infraestructura moderna que hacen de ella una estancia inolvidable para el turista que visita Chiapas</w:t>
      </w:r>
    </w:p>
    <w:p w14:paraId="42DE12BB"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5C8178FB"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b/>
          <w:bCs/>
          <w:sz w:val="22"/>
          <w:szCs w:val="20"/>
          <w:lang w:eastAsia="en-US"/>
        </w:rPr>
        <w:t>San Marcos Tuxtla</w:t>
      </w:r>
      <w:r w:rsidRPr="00065574">
        <w:rPr>
          <w:rFonts w:ascii="Cambria" w:eastAsia="MS Mincho" w:hAnsi="Cambria" w:cs="Times New Roman"/>
          <w:sz w:val="22"/>
          <w:szCs w:val="20"/>
          <w:lang w:eastAsia="en-US"/>
        </w:rPr>
        <w:t> se le denominó como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14:paraId="6E0B2859"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3D17BF24"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b/>
          <w:bCs/>
          <w:sz w:val="22"/>
          <w:szCs w:val="20"/>
          <w:lang w:eastAsia="en-US"/>
        </w:rPr>
        <w:t>Tuxtla Gutiérrez</w:t>
      </w:r>
      <w:r w:rsidRPr="00065574">
        <w:rPr>
          <w:rFonts w:ascii="Cambria" w:eastAsia="MS Mincho" w:hAnsi="Cambria" w:cs="Times New Roman"/>
          <w:sz w:val="22"/>
          <w:szCs w:val="20"/>
          <w:lang w:eastAsia="en-US"/>
        </w:rPr>
        <w:t xml:space="preserve"> está situada a 536 metros sobre el nivel del mar, en un valle abierto por el oriente, sin perder el horizonte montañoso, pues a lo lejos, más allá del río Grijalva se observan los perfiles azules de las lejanas montañas. Por el norte están las estribaciones montañosas que forman el cañón de El Sumidero, imponente fractura geográfica de esplendente e incomparable belleza. Al sur está la cordillera de Cerro hueco que forma la meseta de </w:t>
      </w:r>
      <w:proofErr w:type="spellStart"/>
      <w:r w:rsidRPr="00065574">
        <w:rPr>
          <w:rFonts w:ascii="Cambria" w:eastAsia="MS Mincho" w:hAnsi="Cambria" w:cs="Times New Roman"/>
          <w:sz w:val="22"/>
          <w:szCs w:val="20"/>
          <w:lang w:eastAsia="en-US"/>
        </w:rPr>
        <w:t>Copoya</w:t>
      </w:r>
      <w:proofErr w:type="spellEnd"/>
      <w:r w:rsidRPr="00065574">
        <w:rPr>
          <w:rFonts w:ascii="Cambria" w:eastAsia="MS Mincho" w:hAnsi="Cambria" w:cs="Times New Roman"/>
          <w:sz w:val="22"/>
          <w:szCs w:val="20"/>
          <w:lang w:eastAsia="en-US"/>
        </w:rPr>
        <w:t xml:space="preserve"> y culmina en un elevado cerro denominado </w:t>
      </w:r>
      <w:proofErr w:type="spellStart"/>
      <w:r w:rsidRPr="00065574">
        <w:rPr>
          <w:rFonts w:ascii="Cambria" w:eastAsia="MS Mincho" w:hAnsi="Cambria" w:cs="Times New Roman"/>
          <w:sz w:val="22"/>
          <w:szCs w:val="20"/>
          <w:lang w:eastAsia="en-US"/>
        </w:rPr>
        <w:t>Mactumactzá</w:t>
      </w:r>
      <w:proofErr w:type="spellEnd"/>
      <w:r w:rsidRPr="00065574">
        <w:rPr>
          <w:rFonts w:ascii="Cambria" w:eastAsia="MS Mincho" w:hAnsi="Cambria" w:cs="Times New Roman"/>
          <w:sz w:val="22"/>
          <w:szCs w:val="20"/>
          <w:lang w:eastAsia="en-US"/>
        </w:rPr>
        <w:t>, palabra zoque que suele traducirse como “once estrellas” y que simbolizan la luz permanente de la capital.</w:t>
      </w:r>
    </w:p>
    <w:p w14:paraId="530C95A1"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24D51B41"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1E835752"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2FB99BF0" w14:textId="77777777" w:rsidR="00031657" w:rsidRPr="00065574" w:rsidRDefault="00031657" w:rsidP="00031657">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lastRenderedPageBreak/>
        <w:t>Bases de Preparación de los Estados Financieros</w:t>
      </w:r>
    </w:p>
    <w:p w14:paraId="7EA01409"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5E2D92E8" w14:textId="77777777" w:rsidR="00031657"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 xml:space="preserve">Fueron formulados en base a la Ley General de Contabilidad Gubernamental y los Acuerdos y Lineamientos emitidos por el Consejo de Armonización Contable (CONAC) y con base a la normatividad Hacendaria emitida </w:t>
      </w:r>
      <w:r w:rsidRPr="00A53649">
        <w:rPr>
          <w:rFonts w:ascii="Cambria" w:eastAsia="MS Mincho" w:hAnsi="Cambria" w:cs="Times New Roman"/>
          <w:sz w:val="22"/>
        </w:rPr>
        <w:t>por la Auditoría Superior del Estado.</w:t>
      </w:r>
    </w:p>
    <w:p w14:paraId="1569AF04" w14:textId="77777777" w:rsidR="00031657" w:rsidRDefault="00031657" w:rsidP="00031657">
      <w:pPr>
        <w:tabs>
          <w:tab w:val="center" w:pos="4252"/>
          <w:tab w:val="right" w:pos="8504"/>
        </w:tabs>
        <w:jc w:val="both"/>
        <w:rPr>
          <w:rFonts w:ascii="Cambria" w:eastAsia="MS Mincho" w:hAnsi="Cambria" w:cs="Times New Roman"/>
          <w:sz w:val="22"/>
        </w:rPr>
      </w:pPr>
    </w:p>
    <w:p w14:paraId="126BF30A" w14:textId="77777777" w:rsidR="00031657" w:rsidRPr="00065574" w:rsidRDefault="00031657" w:rsidP="00031657">
      <w:pPr>
        <w:tabs>
          <w:tab w:val="center" w:pos="4252"/>
          <w:tab w:val="right" w:pos="8504"/>
        </w:tabs>
        <w:jc w:val="both"/>
        <w:rPr>
          <w:rFonts w:ascii="Helvetica" w:eastAsia="MS Mincho" w:hAnsi="Helvetica" w:cs="Times New Roman"/>
          <w:b/>
        </w:rPr>
      </w:pPr>
      <w:r w:rsidRPr="00065574">
        <w:rPr>
          <w:rFonts w:ascii="Helvetica" w:eastAsia="MS Mincho" w:hAnsi="Helvetica" w:cs="Times New Roman"/>
          <w:b/>
        </w:rPr>
        <w:t>Características del Sistema de Contabilidad Gubernamental (SCG)</w:t>
      </w:r>
    </w:p>
    <w:p w14:paraId="52577E27" w14:textId="77777777" w:rsidR="00031657" w:rsidRPr="00065574" w:rsidRDefault="00031657" w:rsidP="00031657">
      <w:pPr>
        <w:tabs>
          <w:tab w:val="center" w:pos="4252"/>
          <w:tab w:val="right" w:pos="8504"/>
        </w:tabs>
        <w:jc w:val="both"/>
        <w:rPr>
          <w:rFonts w:ascii="Helvetica" w:eastAsia="MS Mincho" w:hAnsi="Helvetica" w:cs="Times New Roman"/>
          <w:b/>
        </w:rPr>
      </w:pPr>
    </w:p>
    <w:p w14:paraId="018F8EDD"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que utiliza el Municipio para el registro de sus operaciones presupuestales y contables es el Sistema Integral de Administración Hacendaria Municipal (SIAHM), mismos que son los establecidos por la Auditoría Superior del Estado.</w:t>
      </w:r>
    </w:p>
    <w:p w14:paraId="7B686EF3" w14:textId="77777777" w:rsidR="00031657" w:rsidRPr="00065574" w:rsidRDefault="00031657" w:rsidP="00031657">
      <w:pPr>
        <w:tabs>
          <w:tab w:val="center" w:pos="4252"/>
          <w:tab w:val="right" w:pos="8504"/>
        </w:tabs>
        <w:jc w:val="both"/>
        <w:rPr>
          <w:rFonts w:ascii="Cambria" w:eastAsia="MS Mincho" w:hAnsi="Cambria" w:cs="Times New Roman"/>
          <w:sz w:val="22"/>
        </w:rPr>
      </w:pPr>
    </w:p>
    <w:p w14:paraId="70756918"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registra de manera armónica, delimitada y específica las operaciones presupuestarias y contables derivadas de los registros contables y presupuestarios, Asimismo, generará estados financieros, confiables, oportunos, comprensibles, periódicos y comparables.</w:t>
      </w:r>
    </w:p>
    <w:p w14:paraId="634DBD05" w14:textId="77777777" w:rsidR="00031657" w:rsidRPr="00065574" w:rsidRDefault="00031657" w:rsidP="00031657">
      <w:pPr>
        <w:tabs>
          <w:tab w:val="center" w:pos="4252"/>
          <w:tab w:val="right" w:pos="8504"/>
        </w:tabs>
        <w:jc w:val="both"/>
        <w:rPr>
          <w:rFonts w:ascii="Cambria" w:eastAsia="MS Mincho" w:hAnsi="Cambria" w:cs="Times New Roman"/>
          <w:sz w:val="22"/>
        </w:rPr>
      </w:pPr>
    </w:p>
    <w:p w14:paraId="38595A09"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Así mismo, el sistema efectúa los registros, procedimientos e informes, estructurados sobre la base de principios técnicos destinados a captar, valuar, registrar, clasificar, informar e interpretar, las transacciones y eventos que, derivados de la actividad económica del Municipio modifican la situación patrimonial del mismo.</w:t>
      </w:r>
    </w:p>
    <w:p w14:paraId="56DFD05A" w14:textId="77777777" w:rsidR="00031657" w:rsidRPr="00065574" w:rsidRDefault="00031657" w:rsidP="00031657">
      <w:pPr>
        <w:tabs>
          <w:tab w:val="center" w:pos="4252"/>
          <w:tab w:val="right" w:pos="8504"/>
        </w:tabs>
        <w:ind w:left="709"/>
        <w:jc w:val="both"/>
        <w:rPr>
          <w:rFonts w:ascii="Cambria" w:eastAsia="MS Mincho" w:hAnsi="Cambria" w:cs="Times New Roman"/>
          <w:sz w:val="22"/>
        </w:rPr>
      </w:pPr>
    </w:p>
    <w:p w14:paraId="6348F8AA" w14:textId="77777777" w:rsidR="00031657" w:rsidRPr="00065574" w:rsidRDefault="00031657" w:rsidP="00031657">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Políticas de Contabilidad Significativas</w:t>
      </w:r>
    </w:p>
    <w:p w14:paraId="01788826"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080BCCFC"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14:paraId="47C39559"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Respetando y utilizando los Momentos Contables de los Ingresos y Egresos, Estructura del ¨Plan de Cuentas, Clasificador por Objeto de Gasto, Clasificador por Rubro de Ingresos y funcional del gasto; así como las Normas y Metodologías para la Emisión de Información Financiera y Estructura de los Estados Financieros que emitió el Consejo de Armonización Contable (CONAC).</w:t>
      </w:r>
    </w:p>
    <w:p w14:paraId="35454658"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14:paraId="3DA87962"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La Clave Presupuestal fue elaborada respetando la Clasificación Administrativa, Funcional del Gasto, Programática, por Objeto de Gasto y tipo de Gasto y Fuente de Financiamiento.</w:t>
      </w:r>
    </w:p>
    <w:p w14:paraId="03456F29" w14:textId="77777777" w:rsidR="00031657" w:rsidRPr="00065574" w:rsidRDefault="00031657" w:rsidP="00031657">
      <w:pPr>
        <w:tabs>
          <w:tab w:val="center" w:pos="4252"/>
          <w:tab w:val="right" w:pos="8504"/>
        </w:tabs>
        <w:ind w:left="709"/>
        <w:jc w:val="both"/>
        <w:rPr>
          <w:rFonts w:ascii="Helvetica" w:eastAsia="MS Mincho" w:hAnsi="Helvetica" w:cs="Times New Roman"/>
          <w:b/>
          <w:highlight w:val="green"/>
        </w:rPr>
      </w:pPr>
    </w:p>
    <w:p w14:paraId="19C6211C" w14:textId="77777777" w:rsidR="00031657" w:rsidRPr="00065574" w:rsidRDefault="00031657" w:rsidP="00031657">
      <w:pPr>
        <w:tabs>
          <w:tab w:val="center" w:pos="4252"/>
          <w:tab w:val="right" w:pos="8504"/>
        </w:tabs>
        <w:ind w:left="709"/>
        <w:jc w:val="both"/>
        <w:rPr>
          <w:rFonts w:ascii="Helvetica" w:eastAsia="MS Mincho" w:hAnsi="Helvetica" w:cs="Times New Roman"/>
          <w:b/>
          <w:highlight w:val="green"/>
        </w:rPr>
      </w:pPr>
    </w:p>
    <w:p w14:paraId="60F0DEE7" w14:textId="77777777" w:rsidR="00031657" w:rsidRPr="00065574" w:rsidRDefault="00031657" w:rsidP="00031657">
      <w:pPr>
        <w:tabs>
          <w:tab w:val="center" w:pos="4252"/>
          <w:tab w:val="right" w:pos="8504"/>
        </w:tabs>
        <w:ind w:left="709"/>
        <w:jc w:val="both"/>
        <w:rPr>
          <w:rFonts w:ascii="Helvetica" w:eastAsia="MS Mincho" w:hAnsi="Helvetica" w:cs="Times New Roman"/>
          <w:b/>
          <w:highlight w:val="green"/>
        </w:rPr>
      </w:pPr>
    </w:p>
    <w:p w14:paraId="13A42973" w14:textId="77777777" w:rsidR="00031657" w:rsidRPr="001712FD" w:rsidRDefault="00031657" w:rsidP="00031657">
      <w:pPr>
        <w:tabs>
          <w:tab w:val="center" w:pos="4252"/>
          <w:tab w:val="right" w:pos="8504"/>
        </w:tabs>
        <w:ind w:left="709"/>
        <w:jc w:val="both"/>
        <w:rPr>
          <w:b/>
          <w:i/>
          <w:sz w:val="22"/>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p w14:paraId="34232C45" w14:textId="573236DF" w:rsidR="004B2E80" w:rsidRPr="001712FD" w:rsidRDefault="004B2E80" w:rsidP="00031657">
      <w:pPr>
        <w:pStyle w:val="Piedepgina"/>
        <w:ind w:left="709"/>
        <w:jc w:val="both"/>
        <w:rPr>
          <w:b/>
          <w:i/>
          <w:sz w:val="22"/>
        </w:rPr>
      </w:pPr>
    </w:p>
    <w:sectPr w:rsidR="004B2E80" w:rsidRPr="001712FD" w:rsidSect="008C592C">
      <w:headerReference w:type="default" r:id="rId8"/>
      <w:footerReference w:type="default" r:id="rId9"/>
      <w:pgSz w:w="12240" w:h="15840"/>
      <w:pgMar w:top="2167" w:right="851" w:bottom="212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BAFA9" w14:textId="77777777" w:rsidR="00617CB3" w:rsidRDefault="00617CB3" w:rsidP="00176D89">
      <w:r>
        <w:separator/>
      </w:r>
    </w:p>
  </w:endnote>
  <w:endnote w:type="continuationSeparator" w:id="0">
    <w:p w14:paraId="00056206" w14:textId="77777777" w:rsidR="00617CB3" w:rsidRDefault="00617CB3" w:rsidP="0017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ostile">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77170" w14:textId="7214D68D" w:rsidR="004E6F5A" w:rsidRDefault="00AD033F" w:rsidP="00A93C02">
    <w:pPr>
      <w:pStyle w:val="Piedepgina"/>
      <w:tabs>
        <w:tab w:val="clear" w:pos="4252"/>
        <w:tab w:val="clear" w:pos="8504"/>
        <w:tab w:val="left" w:pos="426"/>
        <w:tab w:val="left" w:pos="975"/>
      </w:tabs>
    </w:pPr>
    <w:r w:rsidRPr="00AD033F">
      <w:rPr>
        <w:noProof/>
        <w:lang w:val="es-MX" w:eastAsia="es-MX"/>
      </w:rPr>
      <mc:AlternateContent>
        <mc:Choice Requires="wps">
          <w:drawing>
            <wp:anchor distT="0" distB="0" distL="114300" distR="114300" simplePos="0" relativeHeight="251665408" behindDoc="0" locked="0" layoutInCell="1" allowOverlap="1" wp14:anchorId="47E1BA1D" wp14:editId="2477D6F6">
              <wp:simplePos x="0" y="0"/>
              <wp:positionH relativeFrom="column">
                <wp:posOffset>2571115</wp:posOffset>
              </wp:positionH>
              <wp:positionV relativeFrom="paragraph">
                <wp:posOffset>-829945</wp:posOffset>
              </wp:positionV>
              <wp:extent cx="4664075" cy="685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66407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00EA52" w14:textId="77777777" w:rsidR="00AD033F" w:rsidRPr="00722E4D" w:rsidRDefault="00AD033F" w:rsidP="00AD033F">
                          <w:pPr>
                            <w:jc w:val="right"/>
                            <w:rPr>
                              <w:rFonts w:ascii="Helvetica" w:hAnsi="Helvetica"/>
                              <w:sz w:val="18"/>
                              <w:szCs w:val="20"/>
                            </w:rPr>
                          </w:pPr>
                          <w:r>
                            <w:rPr>
                              <w:rFonts w:ascii="Helvetica" w:hAnsi="Helvetica"/>
                              <w:b/>
                              <w:sz w:val="18"/>
                              <w:szCs w:val="20"/>
                            </w:rPr>
                            <w:t>H. Ayuntamiento Constitucional</w:t>
                          </w:r>
                          <w:r w:rsidRPr="00722E4D">
                            <w:rPr>
                              <w:rFonts w:ascii="Helvetica" w:hAnsi="Helvetica"/>
                              <w:b/>
                              <w:sz w:val="18"/>
                              <w:szCs w:val="20"/>
                            </w:rPr>
                            <w:t xml:space="preserve"> de Tuxtla Gutiérrez</w:t>
                          </w:r>
                          <w:r w:rsidRPr="00722E4D">
                            <w:rPr>
                              <w:rFonts w:ascii="Helvetica" w:hAnsi="Helvetica"/>
                              <w:sz w:val="18"/>
                              <w:szCs w:val="20"/>
                            </w:rPr>
                            <w:t xml:space="preserve"> | Administración 2015-2018.</w:t>
                          </w:r>
                        </w:p>
                        <w:p w14:paraId="652A319D" w14:textId="77777777" w:rsidR="00AD033F" w:rsidRPr="00722E4D" w:rsidRDefault="00AD033F" w:rsidP="00AD033F">
                          <w:pPr>
                            <w:jc w:val="right"/>
                            <w:rPr>
                              <w:rFonts w:ascii="Helvetica" w:hAnsi="Helvetica"/>
                              <w:sz w:val="18"/>
                              <w:szCs w:val="20"/>
                            </w:rPr>
                          </w:pPr>
                          <w:r w:rsidRPr="00722E4D">
                            <w:rPr>
                              <w:rFonts w:ascii="Helvetica" w:hAnsi="Helvetica"/>
                              <w:sz w:val="18"/>
                              <w:szCs w:val="20"/>
                            </w:rPr>
                            <w:t>Calle Central y Segunda Norte S/N. Col. Centro. C.P. 29000. Tuxtla Gutiérrez, Chiapas.</w:t>
                          </w:r>
                        </w:p>
                        <w:p w14:paraId="1EBE4E78" w14:textId="08DDE9AB" w:rsidR="00AD033F" w:rsidRPr="00722E4D" w:rsidRDefault="00AD033F" w:rsidP="00AD033F">
                          <w:pPr>
                            <w:jc w:val="right"/>
                            <w:rPr>
                              <w:rFonts w:ascii="Helvetica" w:hAnsi="Helvetica"/>
                              <w:sz w:val="18"/>
                              <w:szCs w:val="20"/>
                            </w:rPr>
                          </w:pPr>
                          <w:r w:rsidRPr="00722E4D">
                            <w:rPr>
                              <w:rFonts w:ascii="Helvetica" w:hAnsi="Helvetica"/>
                              <w:sz w:val="18"/>
                              <w:szCs w:val="20"/>
                            </w:rPr>
                            <w:t>Teléfono</w:t>
                          </w:r>
                          <w:r>
                            <w:rPr>
                              <w:rFonts w:ascii="Helvetica" w:hAnsi="Helvetica"/>
                              <w:sz w:val="18"/>
                              <w:szCs w:val="20"/>
                            </w:rPr>
                            <w:t>.</w:t>
                          </w:r>
                          <w:r w:rsidRPr="00722E4D">
                            <w:rPr>
                              <w:rFonts w:ascii="Helvetica" w:hAnsi="Helvetica"/>
                              <w:sz w:val="18"/>
                              <w:szCs w:val="20"/>
                            </w:rPr>
                            <w:t xml:space="preserve"> (961) 612 5511 Ext.</w:t>
                          </w:r>
                          <w:r w:rsidR="0022634D">
                            <w:rPr>
                              <w:rFonts w:ascii="Helvetica" w:hAnsi="Helvetica"/>
                              <w:sz w:val="18"/>
                              <w:szCs w:val="20"/>
                            </w:rPr>
                            <w:t>2179</w:t>
                          </w:r>
                          <w:r>
                            <w:rPr>
                              <w:rFonts w:ascii="Helvetica" w:hAnsi="Helvetic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E1BA1D" id="_x0000_t202" coordsize="21600,21600" o:spt="202" path="m,l,21600r21600,l21600,xe">
              <v:stroke joinstyle="miter"/>
              <v:path gradientshapeok="t" o:connecttype="rect"/>
            </v:shapetype>
            <v:shape id="Cuadro de texto 1" o:spid="_x0000_s1026" type="#_x0000_t202" style="position:absolute;margin-left:202.45pt;margin-top:-65.35pt;width:367.25pt;height: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" filled="f" stroked="f">
              <v:textbox>
                <w:txbxContent>
                  <w:p w14:paraId="5300EA52" w14:textId="77777777" w:rsidR="00AD033F" w:rsidRPr="00722E4D" w:rsidRDefault="00AD033F" w:rsidP="00AD033F">
                    <w:pPr>
                      <w:jc w:val="right"/>
                      <w:rPr>
                        <w:rFonts w:ascii="Helvetica" w:hAnsi="Helvetica"/>
                        <w:sz w:val="18"/>
                        <w:szCs w:val="20"/>
                      </w:rPr>
                    </w:pPr>
                    <w:r>
                      <w:rPr>
                        <w:rFonts w:ascii="Helvetica" w:hAnsi="Helvetica"/>
                        <w:b/>
                        <w:sz w:val="18"/>
                        <w:szCs w:val="20"/>
                      </w:rPr>
                      <w:t>H. Ayuntamiento Constitucional</w:t>
                    </w:r>
                    <w:r w:rsidRPr="00722E4D">
                      <w:rPr>
                        <w:rFonts w:ascii="Helvetica" w:hAnsi="Helvetica"/>
                        <w:b/>
                        <w:sz w:val="18"/>
                        <w:szCs w:val="20"/>
                      </w:rPr>
                      <w:t xml:space="preserve"> de Tuxtla Gutiérrez</w:t>
                    </w:r>
                    <w:r w:rsidRPr="00722E4D">
                      <w:rPr>
                        <w:rFonts w:ascii="Helvetica" w:hAnsi="Helvetica"/>
                        <w:sz w:val="18"/>
                        <w:szCs w:val="20"/>
                      </w:rPr>
                      <w:t xml:space="preserve"> | Administración 2015-2018.</w:t>
                    </w:r>
                  </w:p>
                  <w:p w14:paraId="652A319D" w14:textId="77777777" w:rsidR="00AD033F" w:rsidRPr="00722E4D" w:rsidRDefault="00AD033F" w:rsidP="00AD033F">
                    <w:pPr>
                      <w:jc w:val="right"/>
                      <w:rPr>
                        <w:rFonts w:ascii="Helvetica" w:hAnsi="Helvetica"/>
                        <w:sz w:val="18"/>
                        <w:szCs w:val="20"/>
                      </w:rPr>
                    </w:pPr>
                    <w:r w:rsidRPr="00722E4D">
                      <w:rPr>
                        <w:rFonts w:ascii="Helvetica" w:hAnsi="Helvetica"/>
                        <w:sz w:val="18"/>
                        <w:szCs w:val="20"/>
                      </w:rPr>
                      <w:t>Calle Central y Segunda Norte S/N. Col. Centro. C.P. 29000. Tuxtla Gutiérrez, Chiapas.</w:t>
                    </w:r>
                  </w:p>
                  <w:p w14:paraId="1EBE4E78" w14:textId="08DDE9AB" w:rsidR="00AD033F" w:rsidRPr="00722E4D" w:rsidRDefault="00AD033F" w:rsidP="00AD033F">
                    <w:pPr>
                      <w:jc w:val="right"/>
                      <w:rPr>
                        <w:rFonts w:ascii="Helvetica" w:hAnsi="Helvetica"/>
                        <w:sz w:val="18"/>
                        <w:szCs w:val="20"/>
                      </w:rPr>
                    </w:pPr>
                    <w:r w:rsidRPr="00722E4D">
                      <w:rPr>
                        <w:rFonts w:ascii="Helvetica" w:hAnsi="Helvetica"/>
                        <w:sz w:val="18"/>
                        <w:szCs w:val="20"/>
                      </w:rPr>
                      <w:t>Teléfono</w:t>
                    </w:r>
                    <w:r>
                      <w:rPr>
                        <w:rFonts w:ascii="Helvetica" w:hAnsi="Helvetica"/>
                        <w:sz w:val="18"/>
                        <w:szCs w:val="20"/>
                      </w:rPr>
                      <w:t>.</w:t>
                    </w:r>
                    <w:r w:rsidRPr="00722E4D">
                      <w:rPr>
                        <w:rFonts w:ascii="Helvetica" w:hAnsi="Helvetica"/>
                        <w:sz w:val="18"/>
                        <w:szCs w:val="20"/>
                      </w:rPr>
                      <w:t xml:space="preserve"> (961) 612 5511 Ext.</w:t>
                    </w:r>
                    <w:r w:rsidR="0022634D">
                      <w:rPr>
                        <w:rFonts w:ascii="Helvetica" w:hAnsi="Helvetica"/>
                        <w:sz w:val="18"/>
                        <w:szCs w:val="20"/>
                      </w:rPr>
                      <w:t>2179</w:t>
                    </w:r>
                    <w:r>
                      <w:rPr>
                        <w:rFonts w:ascii="Helvetica" w:hAnsi="Helvetica"/>
                        <w:sz w:val="18"/>
                        <w:szCs w:val="20"/>
                      </w:rPr>
                      <w:t>.</w:t>
                    </w:r>
                  </w:p>
                </w:txbxContent>
              </v:textbox>
            </v:shape>
          </w:pict>
        </mc:Fallback>
      </mc:AlternateContent>
    </w:r>
    <w:r w:rsidRPr="00AD033F">
      <w:rPr>
        <w:noProof/>
        <w:lang w:val="es-MX" w:eastAsia="es-MX"/>
      </w:rPr>
      <w:drawing>
        <wp:anchor distT="0" distB="0" distL="114300" distR="114300" simplePos="0" relativeHeight="251664384" behindDoc="1" locked="0" layoutInCell="1" allowOverlap="1" wp14:anchorId="11209DD6" wp14:editId="2E2BCE52">
          <wp:simplePos x="0" y="0"/>
          <wp:positionH relativeFrom="margin">
            <wp:posOffset>-549910</wp:posOffset>
          </wp:positionH>
          <wp:positionV relativeFrom="paragraph">
            <wp:posOffset>-945515</wp:posOffset>
          </wp:positionV>
          <wp:extent cx="7776845" cy="1084580"/>
          <wp:effectExtent l="0" t="0" r="0" b="127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YJOSH:TGZ-CHIS:HojaMembretada-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684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F5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95FBE" w14:textId="77777777" w:rsidR="00617CB3" w:rsidRDefault="00617CB3" w:rsidP="00176D89">
      <w:r>
        <w:separator/>
      </w:r>
    </w:p>
  </w:footnote>
  <w:footnote w:type="continuationSeparator" w:id="0">
    <w:p w14:paraId="5EC3E62A" w14:textId="77777777" w:rsidR="00617CB3" w:rsidRDefault="00617CB3" w:rsidP="00176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99F40" w14:textId="199C53D6" w:rsidR="00176D89" w:rsidRDefault="008C592C">
    <w:pPr>
      <w:pStyle w:val="Encabezado"/>
    </w:pPr>
    <w:r>
      <w:rPr>
        <w:noProof/>
        <w:lang w:val="es-MX" w:eastAsia="es-MX"/>
      </w:rPr>
      <w:drawing>
        <wp:anchor distT="0" distB="0" distL="114300" distR="114300" simplePos="0" relativeHeight="251660288" behindDoc="0" locked="0" layoutInCell="1" allowOverlap="1" wp14:anchorId="5418409E" wp14:editId="556EB87C">
          <wp:simplePos x="0" y="0"/>
          <wp:positionH relativeFrom="margin">
            <wp:align>center</wp:align>
          </wp:positionH>
          <wp:positionV relativeFrom="paragraph">
            <wp:posOffset>-593090</wp:posOffset>
          </wp:positionV>
          <wp:extent cx="7448550" cy="149479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YJOSH:TGZ-CHIS:HojaMembretada-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8480" behindDoc="0" locked="0" layoutInCell="1" allowOverlap="1" wp14:anchorId="4727FEE0" wp14:editId="1D48F36A">
          <wp:simplePos x="0" y="0"/>
          <wp:positionH relativeFrom="column">
            <wp:posOffset>2364740</wp:posOffset>
          </wp:positionH>
          <wp:positionV relativeFrom="paragraph">
            <wp:posOffset>-183515</wp:posOffset>
          </wp:positionV>
          <wp:extent cx="1600200" cy="1019175"/>
          <wp:effectExtent l="0" t="0" r="0" b="9525"/>
          <wp:wrapSquare wrapText="bothSides"/>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Safe Community.png"/>
                  <pic:cNvPicPr/>
                </pic:nvPicPr>
                <pic:blipFill>
                  <a:blip r:embed="rId2">
                    <a:extLst>
                      <a:ext uri="{28A0092B-C50C-407E-A947-70E740481C1C}">
                        <a14:useLocalDpi xmlns:a14="http://schemas.microsoft.com/office/drawing/2010/main" val="0"/>
                      </a:ext>
                    </a:extLst>
                  </a:blip>
                  <a:stretch>
                    <a:fillRect/>
                  </a:stretch>
                </pic:blipFill>
                <pic:spPr>
                  <a:xfrm>
                    <a:off x="0" y="0"/>
                    <a:ext cx="1600200" cy="101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517"/>
    <w:multiLevelType w:val="hybridMultilevel"/>
    <w:tmpl w:val="D92630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536B14"/>
    <w:multiLevelType w:val="hybridMultilevel"/>
    <w:tmpl w:val="0D026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12FB0"/>
    <w:multiLevelType w:val="hybridMultilevel"/>
    <w:tmpl w:val="4D60D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42481E"/>
    <w:multiLevelType w:val="hybridMultilevel"/>
    <w:tmpl w:val="F47A9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F03333"/>
    <w:multiLevelType w:val="hybridMultilevel"/>
    <w:tmpl w:val="451824B2"/>
    <w:lvl w:ilvl="0" w:tplc="AA2ABE40">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6C5056"/>
    <w:multiLevelType w:val="hybridMultilevel"/>
    <w:tmpl w:val="62082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F765ED"/>
    <w:multiLevelType w:val="hybridMultilevel"/>
    <w:tmpl w:val="3120E27C"/>
    <w:lvl w:ilvl="0" w:tplc="89BED1D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09388C"/>
    <w:multiLevelType w:val="hybridMultilevel"/>
    <w:tmpl w:val="76AE953A"/>
    <w:lvl w:ilvl="0" w:tplc="0EAAF194">
      <w:start w:val="31"/>
      <w:numFmt w:val="bullet"/>
      <w:lvlText w:val="-"/>
      <w:lvlJc w:val="left"/>
      <w:pPr>
        <w:ind w:left="720" w:hanging="360"/>
      </w:pPr>
      <w:rPr>
        <w:rFonts w:ascii="Eurostile" w:eastAsiaTheme="minorEastAsia" w:hAnsi="Eurostil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D90"/>
    <w:multiLevelType w:val="hybridMultilevel"/>
    <w:tmpl w:val="8B1A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FD3F6E"/>
    <w:multiLevelType w:val="hybridMultilevel"/>
    <w:tmpl w:val="57909D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9914DD"/>
    <w:multiLevelType w:val="hybridMultilevel"/>
    <w:tmpl w:val="292A7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10"/>
  </w:num>
  <w:num w:numId="6">
    <w:abstractNumId w:val="5"/>
  </w:num>
  <w:num w:numId="7">
    <w:abstractNumId w:val="4"/>
  </w:num>
  <w:num w:numId="8">
    <w:abstractNumId w:val="7"/>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89"/>
    <w:rsid w:val="00005146"/>
    <w:rsid w:val="00006F27"/>
    <w:rsid w:val="00016522"/>
    <w:rsid w:val="00016607"/>
    <w:rsid w:val="00016EF4"/>
    <w:rsid w:val="00027443"/>
    <w:rsid w:val="00027A59"/>
    <w:rsid w:val="00031657"/>
    <w:rsid w:val="00035AED"/>
    <w:rsid w:val="00044088"/>
    <w:rsid w:val="000501A1"/>
    <w:rsid w:val="00056837"/>
    <w:rsid w:val="0006711A"/>
    <w:rsid w:val="00074F1E"/>
    <w:rsid w:val="0008486A"/>
    <w:rsid w:val="00091610"/>
    <w:rsid w:val="000A0B38"/>
    <w:rsid w:val="000A3708"/>
    <w:rsid w:val="000A7F05"/>
    <w:rsid w:val="000C1DC5"/>
    <w:rsid w:val="000C67BC"/>
    <w:rsid w:val="000D3050"/>
    <w:rsid w:val="000F4AC5"/>
    <w:rsid w:val="001022AD"/>
    <w:rsid w:val="00105A73"/>
    <w:rsid w:val="001116F8"/>
    <w:rsid w:val="00115948"/>
    <w:rsid w:val="00126AE7"/>
    <w:rsid w:val="001425C0"/>
    <w:rsid w:val="001469DF"/>
    <w:rsid w:val="00151C0C"/>
    <w:rsid w:val="00154ECE"/>
    <w:rsid w:val="001568BB"/>
    <w:rsid w:val="0016007C"/>
    <w:rsid w:val="00165974"/>
    <w:rsid w:val="0016628D"/>
    <w:rsid w:val="001669D7"/>
    <w:rsid w:val="00166BF0"/>
    <w:rsid w:val="00174B5D"/>
    <w:rsid w:val="00175CC3"/>
    <w:rsid w:val="001767E3"/>
    <w:rsid w:val="00176D89"/>
    <w:rsid w:val="00177030"/>
    <w:rsid w:val="00183AF4"/>
    <w:rsid w:val="00186DD6"/>
    <w:rsid w:val="00194F48"/>
    <w:rsid w:val="00195497"/>
    <w:rsid w:val="001A06B3"/>
    <w:rsid w:val="001A61AD"/>
    <w:rsid w:val="001C234C"/>
    <w:rsid w:val="001C47B7"/>
    <w:rsid w:val="001D201B"/>
    <w:rsid w:val="001D3EEC"/>
    <w:rsid w:val="001D58A5"/>
    <w:rsid w:val="001D6D83"/>
    <w:rsid w:val="001F0CF0"/>
    <w:rsid w:val="002044B4"/>
    <w:rsid w:val="00210C2B"/>
    <w:rsid w:val="0022634D"/>
    <w:rsid w:val="00242916"/>
    <w:rsid w:val="00250828"/>
    <w:rsid w:val="002533C4"/>
    <w:rsid w:val="00260693"/>
    <w:rsid w:val="00260896"/>
    <w:rsid w:val="002657D9"/>
    <w:rsid w:val="00266F38"/>
    <w:rsid w:val="0027018A"/>
    <w:rsid w:val="002724D9"/>
    <w:rsid w:val="0027634E"/>
    <w:rsid w:val="00281F03"/>
    <w:rsid w:val="0028553E"/>
    <w:rsid w:val="00290465"/>
    <w:rsid w:val="00291C2F"/>
    <w:rsid w:val="002957DF"/>
    <w:rsid w:val="00295E2F"/>
    <w:rsid w:val="00296490"/>
    <w:rsid w:val="002A343E"/>
    <w:rsid w:val="002A457C"/>
    <w:rsid w:val="002A6F59"/>
    <w:rsid w:val="002B387F"/>
    <w:rsid w:val="002B5CD9"/>
    <w:rsid w:val="002B66CB"/>
    <w:rsid w:val="002D1DA0"/>
    <w:rsid w:val="002D6FD6"/>
    <w:rsid w:val="002E7974"/>
    <w:rsid w:val="00303A7A"/>
    <w:rsid w:val="00316004"/>
    <w:rsid w:val="003221AD"/>
    <w:rsid w:val="003432B7"/>
    <w:rsid w:val="0035143B"/>
    <w:rsid w:val="0035310E"/>
    <w:rsid w:val="00357586"/>
    <w:rsid w:val="0036258D"/>
    <w:rsid w:val="003627B9"/>
    <w:rsid w:val="00374F14"/>
    <w:rsid w:val="00384902"/>
    <w:rsid w:val="00386419"/>
    <w:rsid w:val="003A075A"/>
    <w:rsid w:val="003A3CCD"/>
    <w:rsid w:val="003A419D"/>
    <w:rsid w:val="003A6E2B"/>
    <w:rsid w:val="003C0BDF"/>
    <w:rsid w:val="003C2CF5"/>
    <w:rsid w:val="003E1356"/>
    <w:rsid w:val="003E7325"/>
    <w:rsid w:val="003F3296"/>
    <w:rsid w:val="0042456C"/>
    <w:rsid w:val="00424AC3"/>
    <w:rsid w:val="004315A9"/>
    <w:rsid w:val="0043664E"/>
    <w:rsid w:val="00440132"/>
    <w:rsid w:val="004537B9"/>
    <w:rsid w:val="004547D5"/>
    <w:rsid w:val="0048483C"/>
    <w:rsid w:val="004A004F"/>
    <w:rsid w:val="004A0CBC"/>
    <w:rsid w:val="004B2E80"/>
    <w:rsid w:val="004B53E8"/>
    <w:rsid w:val="004C1F10"/>
    <w:rsid w:val="004C30E4"/>
    <w:rsid w:val="004C4BF3"/>
    <w:rsid w:val="004C5A90"/>
    <w:rsid w:val="004D6CDF"/>
    <w:rsid w:val="004E36A3"/>
    <w:rsid w:val="004E6F5A"/>
    <w:rsid w:val="004F09BA"/>
    <w:rsid w:val="004F6CF1"/>
    <w:rsid w:val="00527D75"/>
    <w:rsid w:val="005347E0"/>
    <w:rsid w:val="005354E1"/>
    <w:rsid w:val="00543498"/>
    <w:rsid w:val="00553ADD"/>
    <w:rsid w:val="00553E43"/>
    <w:rsid w:val="00560A98"/>
    <w:rsid w:val="00564E3D"/>
    <w:rsid w:val="00571642"/>
    <w:rsid w:val="005A446B"/>
    <w:rsid w:val="005A7030"/>
    <w:rsid w:val="005B1F20"/>
    <w:rsid w:val="005B4535"/>
    <w:rsid w:val="005B7BD0"/>
    <w:rsid w:val="005C2680"/>
    <w:rsid w:val="005D23C3"/>
    <w:rsid w:val="005E3622"/>
    <w:rsid w:val="005F18C5"/>
    <w:rsid w:val="00603676"/>
    <w:rsid w:val="00606252"/>
    <w:rsid w:val="00611A33"/>
    <w:rsid w:val="006122DC"/>
    <w:rsid w:val="00613C16"/>
    <w:rsid w:val="006169E2"/>
    <w:rsid w:val="00617CB3"/>
    <w:rsid w:val="00625A7B"/>
    <w:rsid w:val="00630839"/>
    <w:rsid w:val="006370C3"/>
    <w:rsid w:val="00646411"/>
    <w:rsid w:val="006473C4"/>
    <w:rsid w:val="00652C6A"/>
    <w:rsid w:val="006638A8"/>
    <w:rsid w:val="006842A1"/>
    <w:rsid w:val="00685944"/>
    <w:rsid w:val="006930F9"/>
    <w:rsid w:val="006C4053"/>
    <w:rsid w:val="006E039C"/>
    <w:rsid w:val="006E1924"/>
    <w:rsid w:val="006E1AF5"/>
    <w:rsid w:val="006E5140"/>
    <w:rsid w:val="006F144B"/>
    <w:rsid w:val="006F391E"/>
    <w:rsid w:val="006F5E7C"/>
    <w:rsid w:val="006F7A8F"/>
    <w:rsid w:val="00700913"/>
    <w:rsid w:val="00704BC3"/>
    <w:rsid w:val="00705194"/>
    <w:rsid w:val="00707476"/>
    <w:rsid w:val="00726A05"/>
    <w:rsid w:val="00731D4C"/>
    <w:rsid w:val="00732F82"/>
    <w:rsid w:val="007448E6"/>
    <w:rsid w:val="0074738B"/>
    <w:rsid w:val="00747728"/>
    <w:rsid w:val="00751D8E"/>
    <w:rsid w:val="007525C0"/>
    <w:rsid w:val="00753BB1"/>
    <w:rsid w:val="00754F36"/>
    <w:rsid w:val="007623EB"/>
    <w:rsid w:val="00764F4A"/>
    <w:rsid w:val="00775763"/>
    <w:rsid w:val="00781C12"/>
    <w:rsid w:val="0078255F"/>
    <w:rsid w:val="00794D12"/>
    <w:rsid w:val="0079716C"/>
    <w:rsid w:val="007A7D9D"/>
    <w:rsid w:val="007B3E39"/>
    <w:rsid w:val="007C529C"/>
    <w:rsid w:val="007D5ECB"/>
    <w:rsid w:val="007D7DC0"/>
    <w:rsid w:val="007F29D9"/>
    <w:rsid w:val="00800D16"/>
    <w:rsid w:val="00852D79"/>
    <w:rsid w:val="00855F5B"/>
    <w:rsid w:val="00857F29"/>
    <w:rsid w:val="0087377F"/>
    <w:rsid w:val="00876A66"/>
    <w:rsid w:val="008962B8"/>
    <w:rsid w:val="008A39F2"/>
    <w:rsid w:val="008A3DF0"/>
    <w:rsid w:val="008A4864"/>
    <w:rsid w:val="008A663B"/>
    <w:rsid w:val="008B2350"/>
    <w:rsid w:val="008B37BB"/>
    <w:rsid w:val="008B633B"/>
    <w:rsid w:val="008C592C"/>
    <w:rsid w:val="008D1A2A"/>
    <w:rsid w:val="008D2502"/>
    <w:rsid w:val="008D30F1"/>
    <w:rsid w:val="008E314A"/>
    <w:rsid w:val="008E5694"/>
    <w:rsid w:val="008E7C77"/>
    <w:rsid w:val="008F2604"/>
    <w:rsid w:val="008F3FE5"/>
    <w:rsid w:val="008F4734"/>
    <w:rsid w:val="00906E35"/>
    <w:rsid w:val="00907F3F"/>
    <w:rsid w:val="00913E43"/>
    <w:rsid w:val="009158F2"/>
    <w:rsid w:val="00915DA1"/>
    <w:rsid w:val="00916D00"/>
    <w:rsid w:val="009177EE"/>
    <w:rsid w:val="00927D51"/>
    <w:rsid w:val="00935399"/>
    <w:rsid w:val="0095370E"/>
    <w:rsid w:val="00960712"/>
    <w:rsid w:val="00962AE4"/>
    <w:rsid w:val="00963E0D"/>
    <w:rsid w:val="009660CD"/>
    <w:rsid w:val="00985BFC"/>
    <w:rsid w:val="00986D61"/>
    <w:rsid w:val="00987A8F"/>
    <w:rsid w:val="0099024F"/>
    <w:rsid w:val="00990589"/>
    <w:rsid w:val="00996010"/>
    <w:rsid w:val="009A2ED5"/>
    <w:rsid w:val="009A3A97"/>
    <w:rsid w:val="009A6B2A"/>
    <w:rsid w:val="009B445D"/>
    <w:rsid w:val="009C0685"/>
    <w:rsid w:val="009C4430"/>
    <w:rsid w:val="009C49D5"/>
    <w:rsid w:val="009D1C0D"/>
    <w:rsid w:val="009E1E31"/>
    <w:rsid w:val="009E5651"/>
    <w:rsid w:val="009E630A"/>
    <w:rsid w:val="00A02519"/>
    <w:rsid w:val="00A046E8"/>
    <w:rsid w:val="00A23F23"/>
    <w:rsid w:val="00A26E73"/>
    <w:rsid w:val="00A333B4"/>
    <w:rsid w:val="00A34245"/>
    <w:rsid w:val="00A348F6"/>
    <w:rsid w:val="00A36820"/>
    <w:rsid w:val="00A53897"/>
    <w:rsid w:val="00A6520C"/>
    <w:rsid w:val="00A70926"/>
    <w:rsid w:val="00A71E6E"/>
    <w:rsid w:val="00A76C4D"/>
    <w:rsid w:val="00A80B48"/>
    <w:rsid w:val="00A81D46"/>
    <w:rsid w:val="00A85303"/>
    <w:rsid w:val="00A93C02"/>
    <w:rsid w:val="00AB5664"/>
    <w:rsid w:val="00AB5DF3"/>
    <w:rsid w:val="00AC17A6"/>
    <w:rsid w:val="00AC743D"/>
    <w:rsid w:val="00AD033F"/>
    <w:rsid w:val="00AD07A0"/>
    <w:rsid w:val="00AD110C"/>
    <w:rsid w:val="00AD565D"/>
    <w:rsid w:val="00AD6609"/>
    <w:rsid w:val="00AE104C"/>
    <w:rsid w:val="00AE6B52"/>
    <w:rsid w:val="00B00DE1"/>
    <w:rsid w:val="00B0554F"/>
    <w:rsid w:val="00B15FDC"/>
    <w:rsid w:val="00B237CB"/>
    <w:rsid w:val="00B272B8"/>
    <w:rsid w:val="00B27309"/>
    <w:rsid w:val="00B326F3"/>
    <w:rsid w:val="00B5511E"/>
    <w:rsid w:val="00B553B3"/>
    <w:rsid w:val="00B676E8"/>
    <w:rsid w:val="00B708DA"/>
    <w:rsid w:val="00B73E7A"/>
    <w:rsid w:val="00B77749"/>
    <w:rsid w:val="00B77D4C"/>
    <w:rsid w:val="00B831B5"/>
    <w:rsid w:val="00B96B6B"/>
    <w:rsid w:val="00BC5A66"/>
    <w:rsid w:val="00BC6C29"/>
    <w:rsid w:val="00BD1874"/>
    <w:rsid w:val="00BF7C74"/>
    <w:rsid w:val="00C00C09"/>
    <w:rsid w:val="00C00F92"/>
    <w:rsid w:val="00C07025"/>
    <w:rsid w:val="00C124B0"/>
    <w:rsid w:val="00C21A85"/>
    <w:rsid w:val="00C22480"/>
    <w:rsid w:val="00C2610B"/>
    <w:rsid w:val="00C426C7"/>
    <w:rsid w:val="00C43DD3"/>
    <w:rsid w:val="00C50480"/>
    <w:rsid w:val="00C77AF6"/>
    <w:rsid w:val="00C87F1B"/>
    <w:rsid w:val="00C92A3E"/>
    <w:rsid w:val="00C92DFE"/>
    <w:rsid w:val="00C93D90"/>
    <w:rsid w:val="00CB0791"/>
    <w:rsid w:val="00CB098B"/>
    <w:rsid w:val="00CC3A4C"/>
    <w:rsid w:val="00CD15F6"/>
    <w:rsid w:val="00CD60DA"/>
    <w:rsid w:val="00CF4B3B"/>
    <w:rsid w:val="00D05FFC"/>
    <w:rsid w:val="00D075CA"/>
    <w:rsid w:val="00D10D6D"/>
    <w:rsid w:val="00D2494D"/>
    <w:rsid w:val="00D26273"/>
    <w:rsid w:val="00D3256E"/>
    <w:rsid w:val="00D37D00"/>
    <w:rsid w:val="00D37E85"/>
    <w:rsid w:val="00D421C5"/>
    <w:rsid w:val="00D4767B"/>
    <w:rsid w:val="00D51798"/>
    <w:rsid w:val="00D65620"/>
    <w:rsid w:val="00D70FA7"/>
    <w:rsid w:val="00D7400D"/>
    <w:rsid w:val="00D750CD"/>
    <w:rsid w:val="00D900C3"/>
    <w:rsid w:val="00DB0973"/>
    <w:rsid w:val="00DC00C2"/>
    <w:rsid w:val="00DC1376"/>
    <w:rsid w:val="00DC1A1F"/>
    <w:rsid w:val="00DF0A65"/>
    <w:rsid w:val="00DF16AB"/>
    <w:rsid w:val="00DF580F"/>
    <w:rsid w:val="00E026EF"/>
    <w:rsid w:val="00E04019"/>
    <w:rsid w:val="00E23B60"/>
    <w:rsid w:val="00E2735D"/>
    <w:rsid w:val="00E541D6"/>
    <w:rsid w:val="00E75898"/>
    <w:rsid w:val="00E806A6"/>
    <w:rsid w:val="00EA4444"/>
    <w:rsid w:val="00EA5728"/>
    <w:rsid w:val="00EB79D9"/>
    <w:rsid w:val="00EC5485"/>
    <w:rsid w:val="00EC5CE6"/>
    <w:rsid w:val="00ED1470"/>
    <w:rsid w:val="00EE1C8F"/>
    <w:rsid w:val="00EF7BAA"/>
    <w:rsid w:val="00F045A7"/>
    <w:rsid w:val="00F15D8A"/>
    <w:rsid w:val="00F5228F"/>
    <w:rsid w:val="00F534A8"/>
    <w:rsid w:val="00F56165"/>
    <w:rsid w:val="00F574BA"/>
    <w:rsid w:val="00F711BB"/>
    <w:rsid w:val="00F72C71"/>
    <w:rsid w:val="00F72E55"/>
    <w:rsid w:val="00F84D2C"/>
    <w:rsid w:val="00F8600E"/>
    <w:rsid w:val="00F90BB2"/>
    <w:rsid w:val="00F92DF1"/>
    <w:rsid w:val="00F9333B"/>
    <w:rsid w:val="00F959B0"/>
    <w:rsid w:val="00FA01DD"/>
    <w:rsid w:val="00FD2401"/>
    <w:rsid w:val="00FE028B"/>
    <w:rsid w:val="00FE594C"/>
    <w:rsid w:val="00FE7F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034FA"/>
  <w14:defaultImageDpi w14:val="300"/>
  <w15:docId w15:val="{2B8FF28B-1E11-4006-B6AC-20537ECF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26E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F4A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F4AC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A025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D89"/>
    <w:pPr>
      <w:tabs>
        <w:tab w:val="center" w:pos="4252"/>
        <w:tab w:val="right" w:pos="8504"/>
      </w:tabs>
    </w:pPr>
  </w:style>
  <w:style w:type="character" w:customStyle="1" w:styleId="EncabezadoCar">
    <w:name w:val="Encabezado Car"/>
    <w:basedOn w:val="Fuentedeprrafopredeter"/>
    <w:link w:val="Encabezado"/>
    <w:uiPriority w:val="99"/>
    <w:rsid w:val="00176D89"/>
  </w:style>
  <w:style w:type="paragraph" w:styleId="Piedepgina">
    <w:name w:val="footer"/>
    <w:basedOn w:val="Normal"/>
    <w:link w:val="PiedepginaCar"/>
    <w:uiPriority w:val="99"/>
    <w:unhideWhenUsed/>
    <w:rsid w:val="00176D89"/>
    <w:pPr>
      <w:tabs>
        <w:tab w:val="center" w:pos="4252"/>
        <w:tab w:val="right" w:pos="8504"/>
      </w:tabs>
    </w:pPr>
  </w:style>
  <w:style w:type="character" w:customStyle="1" w:styleId="PiedepginaCar">
    <w:name w:val="Pie de página Car"/>
    <w:basedOn w:val="Fuentedeprrafopredeter"/>
    <w:link w:val="Piedepgina"/>
    <w:uiPriority w:val="99"/>
    <w:rsid w:val="00176D89"/>
  </w:style>
  <w:style w:type="paragraph" w:styleId="Textodeglobo">
    <w:name w:val="Balloon Text"/>
    <w:basedOn w:val="Normal"/>
    <w:link w:val="TextodegloboCar"/>
    <w:uiPriority w:val="99"/>
    <w:semiHidden/>
    <w:unhideWhenUsed/>
    <w:rsid w:val="00176D8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76D89"/>
    <w:rPr>
      <w:rFonts w:ascii="Lucida Grande" w:hAnsi="Lucida Grande"/>
      <w:sz w:val="18"/>
      <w:szCs w:val="18"/>
    </w:rPr>
  </w:style>
  <w:style w:type="paragraph" w:customStyle="1" w:styleId="Standard">
    <w:name w:val="Standard"/>
    <w:rsid w:val="00D421C5"/>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D421C5"/>
    <w:pPr>
      <w:spacing w:after="120"/>
    </w:pPr>
  </w:style>
  <w:style w:type="character" w:styleId="Textoennegrita">
    <w:name w:val="Strong"/>
    <w:basedOn w:val="Fuentedeprrafopredeter"/>
    <w:uiPriority w:val="22"/>
    <w:qFormat/>
    <w:rsid w:val="00D421C5"/>
    <w:rPr>
      <w:b/>
      <w:bCs/>
    </w:rPr>
  </w:style>
  <w:style w:type="paragraph" w:styleId="Sinespaciado">
    <w:name w:val="No Spacing"/>
    <w:uiPriority w:val="1"/>
    <w:qFormat/>
    <w:rsid w:val="00EE1C8F"/>
    <w:rPr>
      <w:rFonts w:ascii="Calibri" w:eastAsia="Times New Roman" w:hAnsi="Calibri" w:cs="Times New Roman"/>
      <w:sz w:val="22"/>
      <w:szCs w:val="22"/>
      <w:lang w:val="en-US" w:eastAsia="en-US" w:bidi="en-US"/>
    </w:rPr>
  </w:style>
  <w:style w:type="paragraph" w:styleId="Prrafodelista">
    <w:name w:val="List Paragraph"/>
    <w:basedOn w:val="Normal"/>
    <w:uiPriority w:val="34"/>
    <w:qFormat/>
    <w:rsid w:val="00A046E8"/>
    <w:pPr>
      <w:ind w:left="720"/>
      <w:contextualSpacing/>
    </w:pPr>
  </w:style>
  <w:style w:type="character" w:customStyle="1" w:styleId="Ttulo1Car">
    <w:name w:val="Título 1 Car"/>
    <w:basedOn w:val="Fuentedeprrafopredeter"/>
    <w:link w:val="Ttulo1"/>
    <w:uiPriority w:val="9"/>
    <w:rsid w:val="00A26E73"/>
    <w:rPr>
      <w:rFonts w:asciiTheme="majorHAnsi" w:eastAsiaTheme="majorEastAsia" w:hAnsiTheme="majorHAnsi" w:cstheme="majorBidi"/>
      <w:color w:val="365F91" w:themeColor="accent1" w:themeShade="BF"/>
      <w:sz w:val="32"/>
      <w:szCs w:val="32"/>
    </w:rPr>
  </w:style>
  <w:style w:type="table" w:styleId="Tablaconcuadrcula">
    <w:name w:val="Table Grid"/>
    <w:basedOn w:val="Tablanormal"/>
    <w:uiPriority w:val="59"/>
    <w:rsid w:val="0091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F4AC5"/>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F4AC5"/>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rsid w:val="00A02519"/>
    <w:rPr>
      <w:rFonts w:asciiTheme="majorHAnsi" w:eastAsiaTheme="majorEastAsia" w:hAnsiTheme="majorHAnsi" w:cstheme="majorBidi"/>
      <w:i/>
      <w:iCs/>
      <w:color w:val="365F91" w:themeColor="accent1" w:themeShade="BF"/>
    </w:rPr>
  </w:style>
  <w:style w:type="paragraph" w:styleId="Textoindependiente">
    <w:name w:val="Body Text"/>
    <w:basedOn w:val="Normal"/>
    <w:link w:val="TextoindependienteCar"/>
    <w:rsid w:val="004B2E80"/>
    <w:pPr>
      <w:widowControl w:val="0"/>
      <w:jc w:val="both"/>
    </w:pPr>
    <w:rPr>
      <w:rFonts w:ascii="Arial" w:eastAsia="Times New Roman" w:hAnsi="Arial" w:cs="Times New Roman"/>
      <w:sz w:val="20"/>
      <w:lang w:val="x-none"/>
    </w:rPr>
  </w:style>
  <w:style w:type="character" w:customStyle="1" w:styleId="TextoindependienteCar">
    <w:name w:val="Texto independiente Car"/>
    <w:basedOn w:val="Fuentedeprrafopredeter"/>
    <w:link w:val="Textoindependiente"/>
    <w:rsid w:val="004B2E80"/>
    <w:rPr>
      <w:rFonts w:ascii="Arial" w:eastAsia="Times New Roman" w:hAnsi="Arial" w:cs="Times New Roman"/>
      <w:sz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392">
      <w:bodyDiv w:val="1"/>
      <w:marLeft w:val="0"/>
      <w:marRight w:val="0"/>
      <w:marTop w:val="0"/>
      <w:marBottom w:val="0"/>
      <w:divBdr>
        <w:top w:val="none" w:sz="0" w:space="0" w:color="auto"/>
        <w:left w:val="none" w:sz="0" w:space="0" w:color="auto"/>
        <w:bottom w:val="none" w:sz="0" w:space="0" w:color="auto"/>
        <w:right w:val="none" w:sz="0" w:space="0" w:color="auto"/>
      </w:divBdr>
    </w:div>
    <w:div w:id="126969132">
      <w:bodyDiv w:val="1"/>
      <w:marLeft w:val="0"/>
      <w:marRight w:val="0"/>
      <w:marTop w:val="0"/>
      <w:marBottom w:val="0"/>
      <w:divBdr>
        <w:top w:val="none" w:sz="0" w:space="0" w:color="auto"/>
        <w:left w:val="none" w:sz="0" w:space="0" w:color="auto"/>
        <w:bottom w:val="none" w:sz="0" w:space="0" w:color="auto"/>
        <w:right w:val="none" w:sz="0" w:space="0" w:color="auto"/>
      </w:divBdr>
    </w:div>
    <w:div w:id="325593962">
      <w:bodyDiv w:val="1"/>
      <w:marLeft w:val="0"/>
      <w:marRight w:val="0"/>
      <w:marTop w:val="0"/>
      <w:marBottom w:val="0"/>
      <w:divBdr>
        <w:top w:val="none" w:sz="0" w:space="0" w:color="auto"/>
        <w:left w:val="none" w:sz="0" w:space="0" w:color="auto"/>
        <w:bottom w:val="none" w:sz="0" w:space="0" w:color="auto"/>
        <w:right w:val="none" w:sz="0" w:space="0" w:color="auto"/>
      </w:divBdr>
    </w:div>
    <w:div w:id="543251626">
      <w:bodyDiv w:val="1"/>
      <w:marLeft w:val="0"/>
      <w:marRight w:val="0"/>
      <w:marTop w:val="0"/>
      <w:marBottom w:val="0"/>
      <w:divBdr>
        <w:top w:val="none" w:sz="0" w:space="0" w:color="auto"/>
        <w:left w:val="none" w:sz="0" w:space="0" w:color="auto"/>
        <w:bottom w:val="none" w:sz="0" w:space="0" w:color="auto"/>
        <w:right w:val="none" w:sz="0" w:space="0" w:color="auto"/>
      </w:divBdr>
    </w:div>
    <w:div w:id="623540883">
      <w:bodyDiv w:val="1"/>
      <w:marLeft w:val="0"/>
      <w:marRight w:val="0"/>
      <w:marTop w:val="0"/>
      <w:marBottom w:val="0"/>
      <w:divBdr>
        <w:top w:val="none" w:sz="0" w:space="0" w:color="auto"/>
        <w:left w:val="none" w:sz="0" w:space="0" w:color="auto"/>
        <w:bottom w:val="none" w:sz="0" w:space="0" w:color="auto"/>
        <w:right w:val="none" w:sz="0" w:space="0" w:color="auto"/>
      </w:divBdr>
    </w:div>
    <w:div w:id="706031712">
      <w:bodyDiv w:val="1"/>
      <w:marLeft w:val="0"/>
      <w:marRight w:val="0"/>
      <w:marTop w:val="0"/>
      <w:marBottom w:val="0"/>
      <w:divBdr>
        <w:top w:val="none" w:sz="0" w:space="0" w:color="auto"/>
        <w:left w:val="none" w:sz="0" w:space="0" w:color="auto"/>
        <w:bottom w:val="none" w:sz="0" w:space="0" w:color="auto"/>
        <w:right w:val="none" w:sz="0" w:space="0" w:color="auto"/>
      </w:divBdr>
    </w:div>
    <w:div w:id="759302011">
      <w:bodyDiv w:val="1"/>
      <w:marLeft w:val="0"/>
      <w:marRight w:val="0"/>
      <w:marTop w:val="0"/>
      <w:marBottom w:val="0"/>
      <w:divBdr>
        <w:top w:val="none" w:sz="0" w:space="0" w:color="auto"/>
        <w:left w:val="none" w:sz="0" w:space="0" w:color="auto"/>
        <w:bottom w:val="none" w:sz="0" w:space="0" w:color="auto"/>
        <w:right w:val="none" w:sz="0" w:space="0" w:color="auto"/>
      </w:divBdr>
    </w:div>
    <w:div w:id="772018425">
      <w:bodyDiv w:val="1"/>
      <w:marLeft w:val="0"/>
      <w:marRight w:val="0"/>
      <w:marTop w:val="0"/>
      <w:marBottom w:val="0"/>
      <w:divBdr>
        <w:top w:val="none" w:sz="0" w:space="0" w:color="auto"/>
        <w:left w:val="none" w:sz="0" w:space="0" w:color="auto"/>
        <w:bottom w:val="none" w:sz="0" w:space="0" w:color="auto"/>
        <w:right w:val="none" w:sz="0" w:space="0" w:color="auto"/>
      </w:divBdr>
    </w:div>
    <w:div w:id="996567613">
      <w:bodyDiv w:val="1"/>
      <w:marLeft w:val="0"/>
      <w:marRight w:val="0"/>
      <w:marTop w:val="0"/>
      <w:marBottom w:val="0"/>
      <w:divBdr>
        <w:top w:val="none" w:sz="0" w:space="0" w:color="auto"/>
        <w:left w:val="none" w:sz="0" w:space="0" w:color="auto"/>
        <w:bottom w:val="none" w:sz="0" w:space="0" w:color="auto"/>
        <w:right w:val="none" w:sz="0" w:space="0" w:color="auto"/>
      </w:divBdr>
    </w:div>
    <w:div w:id="1124884312">
      <w:bodyDiv w:val="1"/>
      <w:marLeft w:val="0"/>
      <w:marRight w:val="0"/>
      <w:marTop w:val="0"/>
      <w:marBottom w:val="0"/>
      <w:divBdr>
        <w:top w:val="none" w:sz="0" w:space="0" w:color="auto"/>
        <w:left w:val="none" w:sz="0" w:space="0" w:color="auto"/>
        <w:bottom w:val="none" w:sz="0" w:space="0" w:color="auto"/>
        <w:right w:val="none" w:sz="0" w:space="0" w:color="auto"/>
      </w:divBdr>
    </w:div>
    <w:div w:id="1225482863">
      <w:bodyDiv w:val="1"/>
      <w:marLeft w:val="0"/>
      <w:marRight w:val="0"/>
      <w:marTop w:val="0"/>
      <w:marBottom w:val="0"/>
      <w:divBdr>
        <w:top w:val="none" w:sz="0" w:space="0" w:color="auto"/>
        <w:left w:val="none" w:sz="0" w:space="0" w:color="auto"/>
        <w:bottom w:val="none" w:sz="0" w:space="0" w:color="auto"/>
        <w:right w:val="none" w:sz="0" w:space="0" w:color="auto"/>
      </w:divBdr>
    </w:div>
    <w:div w:id="1246650317">
      <w:bodyDiv w:val="1"/>
      <w:marLeft w:val="0"/>
      <w:marRight w:val="0"/>
      <w:marTop w:val="0"/>
      <w:marBottom w:val="0"/>
      <w:divBdr>
        <w:top w:val="none" w:sz="0" w:space="0" w:color="auto"/>
        <w:left w:val="none" w:sz="0" w:space="0" w:color="auto"/>
        <w:bottom w:val="none" w:sz="0" w:space="0" w:color="auto"/>
        <w:right w:val="none" w:sz="0" w:space="0" w:color="auto"/>
      </w:divBdr>
    </w:div>
    <w:div w:id="1399211441">
      <w:bodyDiv w:val="1"/>
      <w:marLeft w:val="0"/>
      <w:marRight w:val="0"/>
      <w:marTop w:val="0"/>
      <w:marBottom w:val="0"/>
      <w:divBdr>
        <w:top w:val="none" w:sz="0" w:space="0" w:color="auto"/>
        <w:left w:val="none" w:sz="0" w:space="0" w:color="auto"/>
        <w:bottom w:val="none" w:sz="0" w:space="0" w:color="auto"/>
        <w:right w:val="none" w:sz="0" w:space="0" w:color="auto"/>
      </w:divBdr>
    </w:div>
    <w:div w:id="1407219791">
      <w:bodyDiv w:val="1"/>
      <w:marLeft w:val="0"/>
      <w:marRight w:val="0"/>
      <w:marTop w:val="0"/>
      <w:marBottom w:val="0"/>
      <w:divBdr>
        <w:top w:val="none" w:sz="0" w:space="0" w:color="auto"/>
        <w:left w:val="none" w:sz="0" w:space="0" w:color="auto"/>
        <w:bottom w:val="none" w:sz="0" w:space="0" w:color="auto"/>
        <w:right w:val="none" w:sz="0" w:space="0" w:color="auto"/>
      </w:divBdr>
    </w:div>
    <w:div w:id="1575821733">
      <w:bodyDiv w:val="1"/>
      <w:marLeft w:val="0"/>
      <w:marRight w:val="0"/>
      <w:marTop w:val="0"/>
      <w:marBottom w:val="0"/>
      <w:divBdr>
        <w:top w:val="none" w:sz="0" w:space="0" w:color="auto"/>
        <w:left w:val="none" w:sz="0" w:space="0" w:color="auto"/>
        <w:bottom w:val="none" w:sz="0" w:space="0" w:color="auto"/>
        <w:right w:val="none" w:sz="0" w:space="0" w:color="auto"/>
      </w:divBdr>
    </w:div>
    <w:div w:id="1617373016">
      <w:bodyDiv w:val="1"/>
      <w:marLeft w:val="0"/>
      <w:marRight w:val="0"/>
      <w:marTop w:val="0"/>
      <w:marBottom w:val="0"/>
      <w:divBdr>
        <w:top w:val="none" w:sz="0" w:space="0" w:color="auto"/>
        <w:left w:val="none" w:sz="0" w:space="0" w:color="auto"/>
        <w:bottom w:val="none" w:sz="0" w:space="0" w:color="auto"/>
        <w:right w:val="none" w:sz="0" w:space="0" w:color="auto"/>
      </w:divBdr>
    </w:div>
    <w:div w:id="1695305889">
      <w:bodyDiv w:val="1"/>
      <w:marLeft w:val="0"/>
      <w:marRight w:val="0"/>
      <w:marTop w:val="0"/>
      <w:marBottom w:val="0"/>
      <w:divBdr>
        <w:top w:val="none" w:sz="0" w:space="0" w:color="auto"/>
        <w:left w:val="none" w:sz="0" w:space="0" w:color="auto"/>
        <w:bottom w:val="none" w:sz="0" w:space="0" w:color="auto"/>
        <w:right w:val="none" w:sz="0" w:space="0" w:color="auto"/>
      </w:divBdr>
    </w:div>
    <w:div w:id="1797676467">
      <w:bodyDiv w:val="1"/>
      <w:marLeft w:val="0"/>
      <w:marRight w:val="0"/>
      <w:marTop w:val="0"/>
      <w:marBottom w:val="0"/>
      <w:divBdr>
        <w:top w:val="none" w:sz="0" w:space="0" w:color="auto"/>
        <w:left w:val="none" w:sz="0" w:space="0" w:color="auto"/>
        <w:bottom w:val="none" w:sz="0" w:space="0" w:color="auto"/>
        <w:right w:val="none" w:sz="0" w:space="0" w:color="auto"/>
      </w:divBdr>
    </w:div>
    <w:div w:id="1811091046">
      <w:bodyDiv w:val="1"/>
      <w:marLeft w:val="0"/>
      <w:marRight w:val="0"/>
      <w:marTop w:val="0"/>
      <w:marBottom w:val="0"/>
      <w:divBdr>
        <w:top w:val="none" w:sz="0" w:space="0" w:color="auto"/>
        <w:left w:val="none" w:sz="0" w:space="0" w:color="auto"/>
        <w:bottom w:val="none" w:sz="0" w:space="0" w:color="auto"/>
        <w:right w:val="none" w:sz="0" w:space="0" w:color="auto"/>
      </w:divBdr>
    </w:div>
    <w:div w:id="1893494667">
      <w:bodyDiv w:val="1"/>
      <w:marLeft w:val="0"/>
      <w:marRight w:val="0"/>
      <w:marTop w:val="0"/>
      <w:marBottom w:val="0"/>
      <w:divBdr>
        <w:top w:val="none" w:sz="0" w:space="0" w:color="auto"/>
        <w:left w:val="none" w:sz="0" w:space="0" w:color="auto"/>
        <w:bottom w:val="none" w:sz="0" w:space="0" w:color="auto"/>
        <w:right w:val="none" w:sz="0" w:space="0" w:color="auto"/>
      </w:divBdr>
    </w:div>
    <w:div w:id="1948345752">
      <w:bodyDiv w:val="1"/>
      <w:marLeft w:val="0"/>
      <w:marRight w:val="0"/>
      <w:marTop w:val="0"/>
      <w:marBottom w:val="0"/>
      <w:divBdr>
        <w:top w:val="none" w:sz="0" w:space="0" w:color="auto"/>
        <w:left w:val="none" w:sz="0" w:space="0" w:color="auto"/>
        <w:bottom w:val="none" w:sz="0" w:space="0" w:color="auto"/>
        <w:right w:val="none" w:sz="0" w:space="0" w:color="auto"/>
      </w:divBdr>
    </w:div>
    <w:div w:id="203784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2F7E-0349-403E-8760-30CFD074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PODER JUDICIAL DEL ESTADO DE CHIAPAS</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Karina Morales Prats</dc:creator>
  <cp:keywords/>
  <dc:description/>
  <cp:lastModifiedBy>MAGDALENA MOGUEL THOR</cp:lastModifiedBy>
  <cp:revision>27</cp:revision>
  <cp:lastPrinted>2018-09-19T17:23:00Z</cp:lastPrinted>
  <dcterms:created xsi:type="dcterms:W3CDTF">2018-10-30T00:55:00Z</dcterms:created>
  <dcterms:modified xsi:type="dcterms:W3CDTF">2018-11-09T18:45:00Z</dcterms:modified>
</cp:coreProperties>
</file>