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5597" w14:textId="77777777" w:rsidR="001054A4" w:rsidRDefault="001054A4" w:rsidP="00AC46C3">
      <w:pPr>
        <w:pStyle w:val="NormalWeb"/>
        <w:spacing w:before="0" w:beforeAutospacing="0" w:after="0"/>
        <w:ind w:right="247"/>
        <w:jc w:val="right"/>
        <w:rPr>
          <w:rFonts w:ascii="Calibri" w:hAnsi="Calibri"/>
          <w:b/>
          <w:bCs/>
        </w:rPr>
      </w:pPr>
    </w:p>
    <w:p w14:paraId="5DA839AD" w14:textId="77777777" w:rsidR="001054A4" w:rsidRDefault="001054A4" w:rsidP="004060A8">
      <w:pPr>
        <w:pStyle w:val="NormalWeb"/>
        <w:spacing w:before="0" w:beforeAutospacing="0" w:after="0"/>
        <w:jc w:val="right"/>
        <w:rPr>
          <w:rFonts w:ascii="Calibri" w:hAnsi="Calibri"/>
          <w:b/>
          <w:bCs/>
        </w:rPr>
      </w:pPr>
    </w:p>
    <w:p w14:paraId="19B9880D" w14:textId="77777777" w:rsidR="001054A4" w:rsidRPr="00AF3A27" w:rsidRDefault="001054A4" w:rsidP="001054A4">
      <w:pPr>
        <w:jc w:val="both"/>
        <w:rPr>
          <w:rFonts w:ascii="Arial" w:hAnsi="Arial" w:cs="Arial"/>
        </w:rPr>
      </w:pPr>
    </w:p>
    <w:p w14:paraId="7DA52B44" w14:textId="77777777" w:rsidR="003E548A" w:rsidRPr="006E1924" w:rsidRDefault="003E548A" w:rsidP="003E548A">
      <w:pPr>
        <w:jc w:val="center"/>
        <w:rPr>
          <w:rFonts w:ascii="Helvetica" w:hAnsi="Helvetica"/>
          <w:b/>
          <w:bCs/>
          <w:kern w:val="32"/>
        </w:rPr>
      </w:pPr>
      <w:r w:rsidRPr="006E1924">
        <w:rPr>
          <w:rFonts w:ascii="Helvetica" w:hAnsi="Helvetica"/>
          <w:b/>
          <w:bCs/>
          <w:kern w:val="32"/>
        </w:rPr>
        <w:t>NOTAS DE GESTIÓN ADMINISTRATIVA</w:t>
      </w:r>
    </w:p>
    <w:p w14:paraId="0C24DE41" w14:textId="77777777" w:rsidR="00F146FF" w:rsidRDefault="00F146FF" w:rsidP="003E548A">
      <w:pPr>
        <w:jc w:val="center"/>
        <w:rPr>
          <w:rFonts w:ascii="Century Gothic" w:hAnsi="Century Gothic" w:cs="Arial"/>
          <w:sz w:val="22"/>
          <w:szCs w:val="22"/>
        </w:rPr>
      </w:pPr>
    </w:p>
    <w:p w14:paraId="4479DA05" w14:textId="3D33E411" w:rsidR="003E548A" w:rsidRDefault="003E548A" w:rsidP="003E548A">
      <w:pPr>
        <w:jc w:val="center"/>
        <w:rPr>
          <w:rFonts w:ascii="Century Gothic" w:hAnsi="Century Gothic" w:cs="Arial"/>
          <w:sz w:val="22"/>
          <w:szCs w:val="22"/>
        </w:rPr>
      </w:pPr>
      <w:r w:rsidRPr="00AD5AB7">
        <w:rPr>
          <w:rFonts w:ascii="Century Gothic" w:hAnsi="Century Gothic" w:cs="Arial"/>
          <w:sz w:val="22"/>
          <w:szCs w:val="22"/>
        </w:rPr>
        <w:t xml:space="preserve">DEL </w:t>
      </w:r>
      <w:r>
        <w:rPr>
          <w:rFonts w:ascii="Century Gothic" w:hAnsi="Century Gothic" w:cs="Arial"/>
          <w:sz w:val="22"/>
          <w:szCs w:val="22"/>
        </w:rPr>
        <w:t>0</w:t>
      </w:r>
      <w:r w:rsidR="00B42B15">
        <w:rPr>
          <w:rFonts w:ascii="Century Gothic" w:hAnsi="Century Gothic" w:cs="Arial"/>
          <w:sz w:val="22"/>
          <w:szCs w:val="22"/>
        </w:rPr>
        <w:t>1 DE ENERO AL 3</w:t>
      </w:r>
      <w:r w:rsidR="00F44A9D">
        <w:rPr>
          <w:rFonts w:ascii="Century Gothic" w:hAnsi="Century Gothic" w:cs="Arial"/>
          <w:sz w:val="22"/>
          <w:szCs w:val="22"/>
        </w:rPr>
        <w:t>1</w:t>
      </w:r>
      <w:r w:rsidR="006C4CAF">
        <w:rPr>
          <w:rFonts w:ascii="Century Gothic" w:hAnsi="Century Gothic" w:cs="Arial"/>
          <w:sz w:val="22"/>
          <w:szCs w:val="22"/>
        </w:rPr>
        <w:t xml:space="preserve"> </w:t>
      </w:r>
      <w:r w:rsidR="00B42B15">
        <w:rPr>
          <w:rFonts w:ascii="Century Gothic" w:hAnsi="Century Gothic" w:cs="Arial"/>
          <w:sz w:val="22"/>
          <w:szCs w:val="22"/>
        </w:rPr>
        <w:t xml:space="preserve">DE </w:t>
      </w:r>
      <w:r w:rsidR="00035D1F">
        <w:rPr>
          <w:rFonts w:ascii="Century Gothic" w:hAnsi="Century Gothic" w:cs="Arial"/>
          <w:sz w:val="22"/>
          <w:szCs w:val="22"/>
        </w:rPr>
        <w:t>MARZO</w:t>
      </w:r>
      <w:r w:rsidR="00B42B15">
        <w:rPr>
          <w:rFonts w:ascii="Century Gothic" w:hAnsi="Century Gothic" w:cs="Arial"/>
          <w:sz w:val="22"/>
          <w:szCs w:val="22"/>
        </w:rPr>
        <w:t xml:space="preserve"> DE 202</w:t>
      </w:r>
      <w:r w:rsidR="00035D1F">
        <w:rPr>
          <w:rFonts w:ascii="Century Gothic" w:hAnsi="Century Gothic" w:cs="Arial"/>
          <w:sz w:val="22"/>
          <w:szCs w:val="22"/>
        </w:rPr>
        <w:t>1</w:t>
      </w:r>
    </w:p>
    <w:p w14:paraId="11ADD7A6" w14:textId="77777777" w:rsidR="003E548A" w:rsidRDefault="003E548A" w:rsidP="003E548A">
      <w:pPr>
        <w:pStyle w:val="Piedepgina"/>
        <w:ind w:left="709"/>
        <w:jc w:val="both"/>
        <w:rPr>
          <w:rFonts w:ascii="Helvetica" w:hAnsi="Helvetica"/>
          <w:b/>
        </w:rPr>
      </w:pPr>
    </w:p>
    <w:p w14:paraId="5536A903" w14:textId="77777777" w:rsidR="003E548A" w:rsidRPr="00065574" w:rsidRDefault="003E548A" w:rsidP="003E548A">
      <w:pPr>
        <w:tabs>
          <w:tab w:val="center" w:pos="4252"/>
          <w:tab w:val="right" w:pos="8504"/>
        </w:tabs>
        <w:ind w:left="709"/>
        <w:jc w:val="both"/>
        <w:rPr>
          <w:rFonts w:ascii="Helvetica" w:eastAsia="MS Mincho" w:hAnsi="Helvetica" w:cs="Times New Roman"/>
          <w:b/>
        </w:rPr>
      </w:pPr>
      <w:r w:rsidRPr="00065574">
        <w:rPr>
          <w:rFonts w:ascii="Helvetica" w:eastAsia="MS Mincho" w:hAnsi="Helvetica" w:cs="Times New Roman"/>
          <w:b/>
        </w:rPr>
        <w:t>Introducción</w:t>
      </w:r>
    </w:p>
    <w:p w14:paraId="2CFEAA4A" w14:textId="77777777" w:rsidR="003E548A" w:rsidRPr="00065574" w:rsidRDefault="003E548A" w:rsidP="003E548A">
      <w:pPr>
        <w:widowControl w:val="0"/>
        <w:tabs>
          <w:tab w:val="left" w:pos="6075"/>
        </w:tabs>
        <w:jc w:val="both"/>
        <w:rPr>
          <w:rFonts w:ascii="Cambria" w:eastAsia="MS Mincho" w:hAnsi="Cambria" w:cs="Times New Roman"/>
          <w:sz w:val="22"/>
          <w:szCs w:val="20"/>
          <w:lang w:val="es-MX"/>
        </w:rPr>
      </w:pPr>
    </w:p>
    <w:p w14:paraId="40D79653" w14:textId="326856CA" w:rsidR="003E548A" w:rsidRPr="00065574" w:rsidRDefault="003E548A" w:rsidP="003E548A">
      <w:pPr>
        <w:widowControl w:val="0"/>
        <w:tabs>
          <w:tab w:val="left" w:pos="6075"/>
        </w:tabs>
        <w:jc w:val="both"/>
        <w:rPr>
          <w:rFonts w:ascii="Cambria" w:eastAsia="MS Mincho" w:hAnsi="Cambria" w:cs="Times New Roman"/>
          <w:sz w:val="22"/>
          <w:szCs w:val="22"/>
          <w:lang w:val="es-MX"/>
        </w:rPr>
      </w:pPr>
      <w:r w:rsidRPr="00065574">
        <w:rPr>
          <w:rFonts w:ascii="Cambria" w:eastAsia="MS Mincho" w:hAnsi="Cambria" w:cs="Times New Roman"/>
          <w:sz w:val="22"/>
          <w:szCs w:val="22"/>
          <w:lang w:val="es-MX"/>
        </w:rPr>
        <w:t>De conformidad con lo que establece la Ley General de Contabilidad Gubernamental y los Lineamientos emitidos por el Consejo Nacional de Armonización Contable (CONAC) y demás disposiciones que establecen las diversas instancias que tienen injerencia en esta materia, se presentan los Estados Financieros correspondientes al ejercicio fiscal 20</w:t>
      </w:r>
      <w:r w:rsidR="00B42B15">
        <w:rPr>
          <w:rFonts w:ascii="Cambria" w:eastAsia="MS Mincho" w:hAnsi="Cambria" w:cs="Times New Roman"/>
          <w:sz w:val="22"/>
          <w:szCs w:val="22"/>
          <w:lang w:val="es-MX"/>
        </w:rPr>
        <w:t>2</w:t>
      </w:r>
      <w:r w:rsidR="00035D1F">
        <w:rPr>
          <w:rFonts w:ascii="Cambria" w:eastAsia="MS Mincho" w:hAnsi="Cambria" w:cs="Times New Roman"/>
          <w:sz w:val="22"/>
          <w:szCs w:val="22"/>
          <w:lang w:val="es-MX"/>
        </w:rPr>
        <w:t>1</w:t>
      </w:r>
      <w:r w:rsidRPr="00065574">
        <w:rPr>
          <w:rFonts w:ascii="Cambria" w:eastAsia="MS Mincho" w:hAnsi="Cambria" w:cs="Times New Roman"/>
          <w:sz w:val="22"/>
          <w:szCs w:val="22"/>
          <w:lang w:val="es-MX"/>
        </w:rPr>
        <w:t>.</w:t>
      </w:r>
    </w:p>
    <w:p w14:paraId="29AEC5E5" w14:textId="77777777" w:rsidR="003E548A" w:rsidRPr="00F146FF" w:rsidRDefault="003E548A" w:rsidP="003E548A">
      <w:pPr>
        <w:widowControl w:val="0"/>
        <w:tabs>
          <w:tab w:val="left" w:pos="6075"/>
        </w:tabs>
        <w:jc w:val="both"/>
        <w:rPr>
          <w:rFonts w:ascii="Cambria" w:eastAsia="MS Mincho" w:hAnsi="Cambria" w:cs="Times New Roman"/>
          <w:sz w:val="12"/>
          <w:szCs w:val="12"/>
          <w:lang w:val="es-MX"/>
        </w:rPr>
      </w:pPr>
    </w:p>
    <w:p w14:paraId="30EAB091" w14:textId="77777777" w:rsidR="003E548A" w:rsidRPr="00065574" w:rsidRDefault="003E548A" w:rsidP="003E548A">
      <w:pPr>
        <w:widowControl w:val="0"/>
        <w:tabs>
          <w:tab w:val="left" w:pos="6075"/>
        </w:tabs>
        <w:jc w:val="both"/>
        <w:rPr>
          <w:rFonts w:ascii="Cambria" w:eastAsia="MS Mincho" w:hAnsi="Cambria" w:cs="Times New Roman"/>
          <w:sz w:val="22"/>
          <w:szCs w:val="22"/>
          <w:lang w:val="es-MX"/>
        </w:rPr>
      </w:pPr>
      <w:r w:rsidRPr="00065574">
        <w:rPr>
          <w:rFonts w:ascii="Cambria" w:eastAsia="MS Mincho" w:hAnsi="Cambria" w:cs="Times New Roman"/>
          <w:sz w:val="22"/>
          <w:szCs w:val="22"/>
          <w:lang w:val="es-MX"/>
        </w:rPr>
        <w:t>Estos documentos expresan las transacciones y operaciones económicas realizadas por las Áreas Administrativas que conforman el Ayuntamiento.</w:t>
      </w:r>
    </w:p>
    <w:p w14:paraId="3684845E" w14:textId="77777777" w:rsidR="003E548A" w:rsidRPr="00F146FF" w:rsidRDefault="003E548A" w:rsidP="003E548A">
      <w:pPr>
        <w:widowControl w:val="0"/>
        <w:tabs>
          <w:tab w:val="left" w:pos="6075"/>
        </w:tabs>
        <w:jc w:val="both"/>
        <w:rPr>
          <w:rFonts w:ascii="Cambria" w:eastAsia="MS Mincho" w:hAnsi="Cambria" w:cs="Times New Roman"/>
          <w:sz w:val="12"/>
          <w:szCs w:val="12"/>
          <w:lang w:val="es-MX"/>
        </w:rPr>
      </w:pPr>
    </w:p>
    <w:p w14:paraId="14D6CDE3" w14:textId="3459B7E5" w:rsidR="003E548A" w:rsidRPr="00065574" w:rsidRDefault="003E548A" w:rsidP="003E548A">
      <w:pPr>
        <w:widowControl w:val="0"/>
        <w:tabs>
          <w:tab w:val="left" w:pos="6075"/>
        </w:tabs>
        <w:jc w:val="both"/>
        <w:rPr>
          <w:rFonts w:ascii="Cambria" w:eastAsia="MS Mincho" w:hAnsi="Cambria" w:cs="Times New Roman"/>
          <w:sz w:val="22"/>
          <w:szCs w:val="20"/>
          <w:lang w:val="es-MX"/>
        </w:rPr>
      </w:pPr>
      <w:r w:rsidRPr="00065574">
        <w:rPr>
          <w:rFonts w:ascii="Cambria" w:eastAsia="MS Mincho" w:hAnsi="Cambria" w:cs="Times New Roman"/>
          <w:sz w:val="22"/>
          <w:szCs w:val="20"/>
          <w:lang w:val="es-MX"/>
        </w:rPr>
        <w:t xml:space="preserve">Para una mayor exposición de la información financiera se incluyen diversas notas que amplían el contexto dentro del cual se generaron los datos. Con el mismo fin, a continuación, se presenta una breve descripción de la estructura y el contenido de la Información Financiera del Gobierno </w:t>
      </w:r>
      <w:r>
        <w:rPr>
          <w:rFonts w:ascii="Cambria" w:eastAsia="MS Mincho" w:hAnsi="Cambria" w:cs="Times New Roman"/>
          <w:sz w:val="22"/>
          <w:szCs w:val="20"/>
          <w:lang w:val="es-MX"/>
        </w:rPr>
        <w:t>Municipal</w:t>
      </w:r>
      <w:r w:rsidRPr="00065574">
        <w:rPr>
          <w:rFonts w:ascii="Cambria" w:eastAsia="MS Mincho" w:hAnsi="Cambria" w:cs="Times New Roman"/>
          <w:sz w:val="22"/>
          <w:szCs w:val="20"/>
          <w:lang w:val="es-MX"/>
        </w:rPr>
        <w:t xml:space="preserve"> de Tuxtla Gutiérrez, Chiapa</w:t>
      </w:r>
      <w:r w:rsidR="00B42B15">
        <w:rPr>
          <w:rFonts w:ascii="Cambria" w:eastAsia="MS Mincho" w:hAnsi="Cambria" w:cs="Times New Roman"/>
          <w:sz w:val="22"/>
          <w:szCs w:val="20"/>
          <w:lang w:val="es-MX"/>
        </w:rPr>
        <w:t>s;  para el ejercicio fiscal 202</w:t>
      </w:r>
      <w:r w:rsidR="00844084">
        <w:rPr>
          <w:rFonts w:ascii="Cambria" w:eastAsia="MS Mincho" w:hAnsi="Cambria" w:cs="Times New Roman"/>
          <w:sz w:val="22"/>
          <w:szCs w:val="20"/>
          <w:lang w:val="es-MX"/>
        </w:rPr>
        <w:t>1</w:t>
      </w:r>
      <w:r w:rsidRPr="00065574">
        <w:rPr>
          <w:rFonts w:ascii="Cambria" w:eastAsia="MS Mincho" w:hAnsi="Cambria" w:cs="Times New Roman"/>
          <w:sz w:val="22"/>
          <w:szCs w:val="20"/>
          <w:lang w:val="es-MX"/>
        </w:rPr>
        <w:t>.</w:t>
      </w:r>
      <w:r w:rsidRPr="00065574">
        <w:rPr>
          <w:rFonts w:ascii="Cambria" w:eastAsia="MS Mincho" w:hAnsi="Cambria" w:cs="Times New Roman"/>
          <w:sz w:val="22"/>
          <w:szCs w:val="20"/>
          <w:lang w:val="es-MX"/>
        </w:rPr>
        <w:tab/>
      </w:r>
    </w:p>
    <w:p w14:paraId="0FA538BD" w14:textId="77777777" w:rsidR="003E548A" w:rsidRPr="0015722C" w:rsidRDefault="003E548A" w:rsidP="003E548A">
      <w:pPr>
        <w:tabs>
          <w:tab w:val="center" w:pos="4252"/>
          <w:tab w:val="right" w:pos="8504"/>
        </w:tabs>
        <w:ind w:left="709"/>
        <w:jc w:val="both"/>
        <w:rPr>
          <w:rFonts w:ascii="Helvetica" w:eastAsia="MS Mincho" w:hAnsi="Helvetica" w:cs="Times New Roman"/>
          <w:b/>
          <w:lang w:val="es-MX"/>
        </w:rPr>
      </w:pPr>
    </w:p>
    <w:p w14:paraId="507E51C6" w14:textId="77777777" w:rsidR="003E548A" w:rsidRPr="00065574" w:rsidRDefault="003E548A" w:rsidP="003E548A">
      <w:pPr>
        <w:tabs>
          <w:tab w:val="center" w:pos="4252"/>
          <w:tab w:val="right" w:pos="8504"/>
        </w:tabs>
        <w:ind w:left="709"/>
        <w:jc w:val="both"/>
        <w:rPr>
          <w:rFonts w:ascii="Helvetica" w:eastAsia="MS Mincho" w:hAnsi="Helvetica" w:cs="Times New Roman"/>
          <w:b/>
        </w:rPr>
      </w:pPr>
      <w:r w:rsidRPr="00065574">
        <w:rPr>
          <w:rFonts w:ascii="Helvetica" w:eastAsia="MS Mincho" w:hAnsi="Helvetica" w:cs="Times New Roman"/>
          <w:b/>
        </w:rPr>
        <w:t>Historia</w:t>
      </w:r>
    </w:p>
    <w:p w14:paraId="1913EBBA" w14:textId="77777777" w:rsidR="003E548A" w:rsidRPr="00065574" w:rsidRDefault="003E548A" w:rsidP="003E548A">
      <w:pPr>
        <w:tabs>
          <w:tab w:val="center" w:pos="4252"/>
          <w:tab w:val="right" w:pos="8504"/>
        </w:tabs>
        <w:ind w:left="709"/>
        <w:jc w:val="both"/>
        <w:rPr>
          <w:rFonts w:ascii="Helvetica" w:eastAsia="MS Mincho" w:hAnsi="Helvetica" w:cs="Times New Roman"/>
          <w:b/>
        </w:rPr>
      </w:pPr>
    </w:p>
    <w:p w14:paraId="2C470D65" w14:textId="3ED123CA" w:rsidR="003E548A" w:rsidRPr="00065574" w:rsidRDefault="003E548A" w:rsidP="003E548A">
      <w:pPr>
        <w:widowControl w:val="0"/>
        <w:tabs>
          <w:tab w:val="left" w:pos="6075"/>
        </w:tabs>
        <w:jc w:val="both"/>
        <w:rPr>
          <w:rFonts w:ascii="Cambria" w:eastAsia="MS Mincho" w:hAnsi="Cambria" w:cs="Times New Roman"/>
          <w:sz w:val="22"/>
          <w:szCs w:val="20"/>
          <w:lang w:val="es-MX"/>
        </w:rPr>
      </w:pPr>
      <w:r w:rsidRPr="00065574">
        <w:rPr>
          <w:rFonts w:ascii="Cambria" w:eastAsia="MS Mincho" w:hAnsi="Cambria" w:cs="Times New Roman"/>
          <w:b/>
          <w:bCs/>
          <w:sz w:val="22"/>
          <w:szCs w:val="20"/>
        </w:rPr>
        <w:t>Tuxtla viene del náhuatl </w:t>
      </w:r>
      <w:proofErr w:type="spellStart"/>
      <w:r w:rsidRPr="00065574">
        <w:rPr>
          <w:rFonts w:ascii="Cambria" w:eastAsia="MS Mincho" w:hAnsi="Cambria" w:cs="Times New Roman"/>
          <w:b/>
          <w:bCs/>
          <w:i/>
          <w:iCs/>
          <w:sz w:val="22"/>
          <w:szCs w:val="20"/>
        </w:rPr>
        <w:t>Tuchtlán</w:t>
      </w:r>
      <w:proofErr w:type="spellEnd"/>
      <w:r w:rsidRPr="00065574">
        <w:rPr>
          <w:rFonts w:ascii="Cambria" w:eastAsia="MS Mincho" w:hAnsi="Cambria" w:cs="Times New Roman"/>
          <w:b/>
          <w:bCs/>
          <w:i/>
          <w:iCs/>
          <w:sz w:val="22"/>
          <w:szCs w:val="20"/>
        </w:rPr>
        <w:t> </w:t>
      </w:r>
      <w:r w:rsidRPr="00065574">
        <w:rPr>
          <w:rFonts w:ascii="Cambria" w:eastAsia="MS Mincho" w:hAnsi="Cambria" w:cs="Times New Roman"/>
          <w:sz w:val="22"/>
          <w:szCs w:val="20"/>
        </w:rPr>
        <w:t>que significa </w:t>
      </w:r>
      <w:r w:rsidRPr="00065574">
        <w:rPr>
          <w:rFonts w:ascii="Cambria" w:eastAsia="MS Mincho" w:hAnsi="Cambria" w:cs="Times New Roman"/>
          <w:b/>
          <w:bCs/>
          <w:sz w:val="22"/>
          <w:szCs w:val="20"/>
        </w:rPr>
        <w:t>lugar donde abundan los conejos</w:t>
      </w:r>
      <w:r w:rsidRPr="00065574">
        <w:rPr>
          <w:rFonts w:ascii="Cambria" w:eastAsia="MS Mincho" w:hAnsi="Cambria" w:cs="Times New Roman"/>
          <w:sz w:val="22"/>
          <w:szCs w:val="20"/>
        </w:rPr>
        <w:t>, para expresar la misma idea los antiguos zoques la llamaron</w:t>
      </w:r>
      <w:r w:rsidRPr="00065574">
        <w:rPr>
          <w:rFonts w:ascii="Cambria" w:eastAsia="MS Mincho" w:hAnsi="Cambria" w:cs="Times New Roman"/>
          <w:i/>
          <w:iCs/>
          <w:sz w:val="22"/>
          <w:szCs w:val="20"/>
        </w:rPr>
        <w:t> </w:t>
      </w:r>
      <w:proofErr w:type="spellStart"/>
      <w:r w:rsidRPr="00065574">
        <w:rPr>
          <w:rFonts w:ascii="Cambria" w:eastAsia="MS Mincho" w:hAnsi="Cambria" w:cs="Times New Roman"/>
          <w:i/>
          <w:iCs/>
          <w:sz w:val="22"/>
          <w:szCs w:val="20"/>
        </w:rPr>
        <w:t>Coyatoc</w:t>
      </w:r>
      <w:proofErr w:type="spellEnd"/>
      <w:r w:rsidRPr="00065574">
        <w:rPr>
          <w:rFonts w:ascii="Cambria" w:eastAsia="MS Mincho" w:hAnsi="Cambria" w:cs="Times New Roman"/>
          <w:sz w:val="22"/>
          <w:szCs w:val="20"/>
        </w:rPr>
        <w:t>. En honor al general Joaquín Miguel Gutiérrez se le dio el apellido Gutiérrez.</w:t>
      </w:r>
      <w:r w:rsidRPr="00065574">
        <w:rPr>
          <w:rFonts w:ascii="Open Sans" w:eastAsia="MS Mincho" w:hAnsi="Open Sans" w:cs="Times New Roman"/>
          <w:color w:val="000000"/>
          <w:sz w:val="20"/>
          <w:szCs w:val="20"/>
          <w:shd w:val="clear" w:color="auto" w:fill="FFFFFF"/>
        </w:rPr>
        <w:t xml:space="preserve"> </w:t>
      </w:r>
      <w:r w:rsidRPr="00065574">
        <w:rPr>
          <w:rFonts w:ascii="Cambria" w:eastAsia="MS Mincho" w:hAnsi="Cambria" w:cs="Times New Roman"/>
          <w:sz w:val="22"/>
          <w:szCs w:val="20"/>
        </w:rPr>
        <w:t xml:space="preserve">Con una población aproximada </w:t>
      </w:r>
      <w:proofErr w:type="gramStart"/>
      <w:r w:rsidRPr="00065574">
        <w:rPr>
          <w:rFonts w:ascii="Cambria" w:eastAsia="MS Mincho" w:hAnsi="Cambria" w:cs="Times New Roman"/>
          <w:sz w:val="22"/>
          <w:szCs w:val="20"/>
        </w:rPr>
        <w:t xml:space="preserve">de </w:t>
      </w:r>
      <w:r w:rsidR="00056ED5">
        <w:rPr>
          <w:rFonts w:ascii="Cambria" w:eastAsia="MS Mincho" w:hAnsi="Cambria" w:cs="Times New Roman"/>
          <w:sz w:val="22"/>
          <w:szCs w:val="20"/>
        </w:rPr>
        <w:t xml:space="preserve"> 598</w:t>
      </w:r>
      <w:r w:rsidR="00B94999">
        <w:rPr>
          <w:rFonts w:ascii="Cambria" w:eastAsia="MS Mincho" w:hAnsi="Cambria" w:cs="Times New Roman"/>
          <w:sz w:val="22"/>
          <w:szCs w:val="20"/>
        </w:rPr>
        <w:t>,710</w:t>
      </w:r>
      <w:proofErr w:type="gramEnd"/>
      <w:r w:rsidR="000D6D2F">
        <w:rPr>
          <w:rFonts w:ascii="Cambria" w:eastAsia="MS Mincho" w:hAnsi="Cambria" w:cs="Times New Roman"/>
          <w:sz w:val="22"/>
          <w:szCs w:val="20"/>
        </w:rPr>
        <w:t xml:space="preserve"> </w:t>
      </w:r>
      <w:r w:rsidRPr="00065574">
        <w:rPr>
          <w:rFonts w:ascii="Cambria" w:eastAsia="MS Mincho" w:hAnsi="Cambria" w:cs="Times New Roman"/>
          <w:sz w:val="22"/>
          <w:szCs w:val="20"/>
        </w:rPr>
        <w:t>habitantes</w:t>
      </w:r>
      <w:r w:rsidR="00B94999">
        <w:rPr>
          <w:rFonts w:ascii="Cambria" w:eastAsia="MS Mincho" w:hAnsi="Cambria" w:cs="Times New Roman"/>
          <w:sz w:val="22"/>
          <w:szCs w:val="20"/>
        </w:rPr>
        <w:t xml:space="preserve"> (</w:t>
      </w:r>
      <w:r w:rsidR="00A146AE">
        <w:rPr>
          <w:rFonts w:ascii="Cambria" w:eastAsia="MS Mincho" w:hAnsi="Cambria" w:cs="Times New Roman"/>
          <w:sz w:val="22"/>
          <w:szCs w:val="20"/>
        </w:rPr>
        <w:t>INEGI)</w:t>
      </w:r>
      <w:r w:rsidRPr="00065574">
        <w:rPr>
          <w:rFonts w:ascii="Cambria" w:eastAsia="MS Mincho" w:hAnsi="Cambria" w:cs="Times New Roman"/>
          <w:sz w:val="22"/>
          <w:szCs w:val="20"/>
        </w:rPr>
        <w:t>, su extensión territorial es de 412.4 km2 y se encuentra localizada en la parte central del estado a 550 m.s.n.m. El terreno es relativamente plano debido al declive que existe hacia el río Sabinal</w:t>
      </w:r>
    </w:p>
    <w:p w14:paraId="3CD9B8D4" w14:textId="77777777" w:rsidR="003E548A" w:rsidRPr="00F146FF" w:rsidRDefault="003E548A" w:rsidP="003E548A">
      <w:pPr>
        <w:widowControl w:val="0"/>
        <w:tabs>
          <w:tab w:val="left" w:pos="6075"/>
        </w:tabs>
        <w:jc w:val="both"/>
        <w:rPr>
          <w:rFonts w:ascii="Cambria" w:eastAsia="MS Mincho" w:hAnsi="Cambria" w:cs="Times New Roman"/>
          <w:sz w:val="12"/>
          <w:szCs w:val="12"/>
          <w:lang w:val="es-MX"/>
        </w:rPr>
      </w:pPr>
    </w:p>
    <w:p w14:paraId="07946E64" w14:textId="77777777" w:rsidR="003E548A" w:rsidRPr="00065574" w:rsidRDefault="003E548A" w:rsidP="003E548A">
      <w:pPr>
        <w:widowControl w:val="0"/>
        <w:tabs>
          <w:tab w:val="left" w:pos="6075"/>
        </w:tabs>
        <w:jc w:val="both"/>
        <w:rPr>
          <w:rFonts w:ascii="Cambria" w:eastAsia="MS Mincho" w:hAnsi="Cambria" w:cs="Times New Roman"/>
          <w:sz w:val="22"/>
          <w:szCs w:val="20"/>
          <w:lang w:val="es-MX"/>
        </w:rPr>
      </w:pPr>
      <w:r w:rsidRPr="00065574">
        <w:rPr>
          <w:rFonts w:ascii="Cambria" w:eastAsia="MS Mincho" w:hAnsi="Cambria" w:cs="Times New Roman"/>
          <w:sz w:val="22"/>
          <w:szCs w:val="20"/>
        </w:rPr>
        <w:t>Ciudad cálida por su gente y clima, en </w:t>
      </w:r>
      <w:r w:rsidRPr="00065574">
        <w:rPr>
          <w:rFonts w:ascii="Cambria" w:eastAsia="MS Mincho" w:hAnsi="Cambria" w:cs="Times New Roman"/>
          <w:b/>
          <w:bCs/>
          <w:sz w:val="22"/>
          <w:szCs w:val="20"/>
        </w:rPr>
        <w:t>Tuxtla Gutiérrez</w:t>
      </w:r>
      <w:r w:rsidRPr="00065574">
        <w:rPr>
          <w:rFonts w:ascii="Cambria" w:eastAsia="MS Mincho" w:hAnsi="Cambria" w:cs="Times New Roman"/>
          <w:sz w:val="22"/>
          <w:szCs w:val="20"/>
        </w:rPr>
        <w:t> se combina la riqueza cultural, atractivos naturales e infraestructura moderna que hacen de ella una estancia inolvidable para el turista que visita Chiapas</w:t>
      </w:r>
    </w:p>
    <w:p w14:paraId="645BAFD8" w14:textId="77777777" w:rsidR="003E548A" w:rsidRPr="00F146FF" w:rsidRDefault="003E548A" w:rsidP="003E548A">
      <w:pPr>
        <w:widowControl w:val="0"/>
        <w:tabs>
          <w:tab w:val="left" w:pos="6075"/>
        </w:tabs>
        <w:jc w:val="both"/>
        <w:rPr>
          <w:rFonts w:ascii="Cambria" w:eastAsia="MS Mincho" w:hAnsi="Cambria" w:cs="Times New Roman"/>
          <w:sz w:val="12"/>
          <w:szCs w:val="12"/>
          <w:lang w:val="es-MX"/>
        </w:rPr>
      </w:pPr>
    </w:p>
    <w:p w14:paraId="2C75D02E" w14:textId="77777777" w:rsidR="003E548A" w:rsidRPr="00065574" w:rsidRDefault="003E548A" w:rsidP="003E548A">
      <w:pPr>
        <w:widowControl w:val="0"/>
        <w:tabs>
          <w:tab w:val="left" w:pos="6075"/>
        </w:tabs>
        <w:jc w:val="both"/>
        <w:rPr>
          <w:rFonts w:ascii="Cambria" w:eastAsia="MS Mincho" w:hAnsi="Cambria" w:cs="Times New Roman"/>
          <w:sz w:val="22"/>
          <w:szCs w:val="20"/>
          <w:lang w:val="es-MX"/>
        </w:rPr>
      </w:pPr>
      <w:r w:rsidRPr="00065574">
        <w:rPr>
          <w:rFonts w:ascii="Cambria" w:eastAsia="MS Mincho" w:hAnsi="Cambria" w:cs="Times New Roman"/>
          <w:b/>
          <w:bCs/>
          <w:sz w:val="22"/>
          <w:szCs w:val="20"/>
        </w:rPr>
        <w:t>San Marcos Tuxtla</w:t>
      </w:r>
      <w:r w:rsidRPr="00065574">
        <w:rPr>
          <w:rFonts w:ascii="Cambria" w:eastAsia="MS Mincho" w:hAnsi="Cambria" w:cs="Times New Roman"/>
          <w:sz w:val="22"/>
          <w:szCs w:val="20"/>
        </w:rPr>
        <w:t xml:space="preserve"> se le </w:t>
      </w:r>
      <w:proofErr w:type="gramStart"/>
      <w:r w:rsidRPr="00065574">
        <w:rPr>
          <w:rFonts w:ascii="Cambria" w:eastAsia="MS Mincho" w:hAnsi="Cambria" w:cs="Times New Roman"/>
          <w:sz w:val="22"/>
          <w:szCs w:val="20"/>
        </w:rPr>
        <w:t>denominó como</w:t>
      </w:r>
      <w:proofErr w:type="gramEnd"/>
      <w:r w:rsidRPr="00065574">
        <w:rPr>
          <w:rFonts w:ascii="Cambria" w:eastAsia="MS Mincho" w:hAnsi="Cambria" w:cs="Times New Roman"/>
          <w:sz w:val="22"/>
          <w:szCs w:val="20"/>
        </w:rPr>
        <w:t xml:space="preserve"> homenaje al santo patrono de la iglesia principal que erigieron los jesuitas. En1813 las Cortes de Cádiz le dan categoría de Villa, en la misma cédula en que dan el rango de ciudad a Santa María de Comitán. La legislatura local eleva a la categoría de ciudad a San Marcos Tuxtla el 27 de julio de 1829</w:t>
      </w:r>
    </w:p>
    <w:p w14:paraId="3EC03EF7" w14:textId="77777777" w:rsidR="003E548A" w:rsidRPr="00F146FF" w:rsidRDefault="003E548A" w:rsidP="003E548A">
      <w:pPr>
        <w:widowControl w:val="0"/>
        <w:tabs>
          <w:tab w:val="left" w:pos="6075"/>
        </w:tabs>
        <w:jc w:val="both"/>
        <w:rPr>
          <w:rFonts w:ascii="Cambria" w:eastAsia="MS Mincho" w:hAnsi="Cambria" w:cs="Times New Roman"/>
          <w:sz w:val="12"/>
          <w:szCs w:val="12"/>
          <w:lang w:val="es-MX"/>
        </w:rPr>
      </w:pPr>
    </w:p>
    <w:p w14:paraId="703C63CB" w14:textId="77777777" w:rsidR="003E548A" w:rsidRPr="00065574" w:rsidRDefault="003E548A" w:rsidP="003E548A">
      <w:pPr>
        <w:widowControl w:val="0"/>
        <w:tabs>
          <w:tab w:val="left" w:pos="6075"/>
        </w:tabs>
        <w:jc w:val="both"/>
        <w:rPr>
          <w:rFonts w:ascii="Cambria" w:eastAsia="MS Mincho" w:hAnsi="Cambria" w:cs="Times New Roman"/>
          <w:sz w:val="22"/>
          <w:szCs w:val="20"/>
          <w:lang w:val="es-MX"/>
        </w:rPr>
      </w:pPr>
      <w:r w:rsidRPr="00065574">
        <w:rPr>
          <w:rFonts w:ascii="Cambria" w:eastAsia="MS Mincho" w:hAnsi="Cambria" w:cs="Times New Roman"/>
          <w:b/>
          <w:bCs/>
          <w:sz w:val="22"/>
          <w:szCs w:val="20"/>
        </w:rPr>
        <w:t>Tuxtla Gutiérrez</w:t>
      </w:r>
      <w:r w:rsidRPr="00065574">
        <w:rPr>
          <w:rFonts w:ascii="Cambria" w:eastAsia="MS Mincho" w:hAnsi="Cambria" w:cs="Times New Roman"/>
          <w:sz w:val="22"/>
          <w:szCs w:val="20"/>
        </w:rPr>
        <w:t xml:space="preserve"> está situada a 536 metros sobre el nivel del mar, en un valle abierto por el oriente, sin perder el horizonte montañoso, pues a lo lejos, más allá del río Grijalva se observan los perfiles azules de las lejanas montañas. Por el norte están las estribaciones montañosas que forman el cañón de El Sumidero, imponente fractura geográfica de esplendente e incomparable belleza. Al sur está la cordillera de Cerro hueco que forma la meseta de Copoya y culmina en un elevado cerro denominado </w:t>
      </w:r>
      <w:proofErr w:type="spellStart"/>
      <w:r w:rsidRPr="00065574">
        <w:rPr>
          <w:rFonts w:ascii="Cambria" w:eastAsia="MS Mincho" w:hAnsi="Cambria" w:cs="Times New Roman"/>
          <w:sz w:val="22"/>
          <w:szCs w:val="20"/>
        </w:rPr>
        <w:t>Mactumactzá</w:t>
      </w:r>
      <w:proofErr w:type="spellEnd"/>
      <w:r w:rsidRPr="00065574">
        <w:rPr>
          <w:rFonts w:ascii="Cambria" w:eastAsia="MS Mincho" w:hAnsi="Cambria" w:cs="Times New Roman"/>
          <w:sz w:val="22"/>
          <w:szCs w:val="20"/>
        </w:rPr>
        <w:t>, palabra zoque que suele traducirse como “once estrellas” y que simbolizan la luz permanente de la capital.</w:t>
      </w:r>
    </w:p>
    <w:p w14:paraId="57CD4952" w14:textId="77777777" w:rsidR="003E548A" w:rsidRPr="00065574" w:rsidRDefault="003E548A" w:rsidP="003E548A">
      <w:pPr>
        <w:widowControl w:val="0"/>
        <w:tabs>
          <w:tab w:val="left" w:pos="6075"/>
        </w:tabs>
        <w:jc w:val="both"/>
        <w:rPr>
          <w:rFonts w:ascii="Cambria" w:eastAsia="MS Mincho" w:hAnsi="Cambria" w:cs="Times New Roman"/>
          <w:sz w:val="22"/>
          <w:szCs w:val="20"/>
          <w:lang w:val="es-MX"/>
        </w:rPr>
      </w:pPr>
    </w:p>
    <w:p w14:paraId="7982C240" w14:textId="77777777" w:rsidR="003E548A" w:rsidRPr="00065574" w:rsidRDefault="003E548A" w:rsidP="003E548A">
      <w:pPr>
        <w:tabs>
          <w:tab w:val="center" w:pos="4252"/>
          <w:tab w:val="right" w:pos="8504"/>
        </w:tabs>
        <w:ind w:left="709"/>
        <w:jc w:val="both"/>
        <w:rPr>
          <w:rFonts w:ascii="Helvetica" w:eastAsia="MS Mincho" w:hAnsi="Helvetica" w:cs="Times New Roman"/>
          <w:b/>
        </w:rPr>
      </w:pPr>
    </w:p>
    <w:p w14:paraId="28630DEF" w14:textId="21BD3E4F" w:rsidR="003E548A" w:rsidRDefault="003E548A" w:rsidP="003E548A">
      <w:pPr>
        <w:tabs>
          <w:tab w:val="center" w:pos="4252"/>
          <w:tab w:val="right" w:pos="8504"/>
        </w:tabs>
        <w:ind w:left="709"/>
        <w:jc w:val="both"/>
        <w:rPr>
          <w:rFonts w:ascii="Helvetica" w:eastAsia="MS Mincho" w:hAnsi="Helvetica" w:cs="Times New Roman"/>
          <w:b/>
        </w:rPr>
      </w:pPr>
    </w:p>
    <w:p w14:paraId="740C29A6" w14:textId="11A6B40D" w:rsidR="00F146FF" w:rsidRDefault="00F146FF" w:rsidP="003E548A">
      <w:pPr>
        <w:tabs>
          <w:tab w:val="center" w:pos="4252"/>
          <w:tab w:val="right" w:pos="8504"/>
        </w:tabs>
        <w:ind w:left="709"/>
        <w:jc w:val="both"/>
        <w:rPr>
          <w:rFonts w:ascii="Helvetica" w:eastAsia="MS Mincho" w:hAnsi="Helvetica" w:cs="Times New Roman"/>
          <w:b/>
        </w:rPr>
      </w:pPr>
    </w:p>
    <w:p w14:paraId="43561C2E" w14:textId="77777777" w:rsidR="00F146FF" w:rsidRDefault="00F146FF" w:rsidP="003E548A">
      <w:pPr>
        <w:tabs>
          <w:tab w:val="center" w:pos="4252"/>
          <w:tab w:val="right" w:pos="8504"/>
        </w:tabs>
        <w:ind w:left="709"/>
        <w:jc w:val="both"/>
        <w:rPr>
          <w:rFonts w:ascii="Helvetica" w:eastAsia="MS Mincho" w:hAnsi="Helvetica" w:cs="Times New Roman"/>
          <w:b/>
        </w:rPr>
      </w:pPr>
    </w:p>
    <w:p w14:paraId="7B1A46E3" w14:textId="77777777" w:rsidR="00021607" w:rsidRDefault="00021607" w:rsidP="003E548A">
      <w:pPr>
        <w:tabs>
          <w:tab w:val="center" w:pos="4252"/>
          <w:tab w:val="right" w:pos="8504"/>
        </w:tabs>
        <w:ind w:left="709"/>
        <w:jc w:val="both"/>
        <w:rPr>
          <w:rFonts w:ascii="Helvetica" w:eastAsia="MS Mincho" w:hAnsi="Helvetica" w:cs="Times New Roman"/>
          <w:b/>
        </w:rPr>
      </w:pPr>
    </w:p>
    <w:p w14:paraId="3D58797C" w14:textId="77777777" w:rsidR="003E548A" w:rsidRDefault="003E548A" w:rsidP="003E548A">
      <w:pPr>
        <w:tabs>
          <w:tab w:val="center" w:pos="4252"/>
          <w:tab w:val="right" w:pos="8504"/>
        </w:tabs>
        <w:ind w:left="709"/>
        <w:jc w:val="both"/>
        <w:rPr>
          <w:rFonts w:ascii="Helvetica" w:eastAsia="MS Mincho" w:hAnsi="Helvetica" w:cs="Times New Roman"/>
          <w:b/>
        </w:rPr>
      </w:pPr>
    </w:p>
    <w:p w14:paraId="06396FCE" w14:textId="77777777" w:rsidR="003E548A" w:rsidRDefault="003E548A" w:rsidP="003E548A">
      <w:pPr>
        <w:tabs>
          <w:tab w:val="center" w:pos="4252"/>
          <w:tab w:val="right" w:pos="8504"/>
        </w:tabs>
        <w:ind w:left="709"/>
        <w:jc w:val="both"/>
        <w:rPr>
          <w:rFonts w:ascii="Helvetica" w:eastAsia="MS Mincho" w:hAnsi="Helvetica" w:cs="Times New Roman"/>
          <w:b/>
        </w:rPr>
      </w:pPr>
    </w:p>
    <w:p w14:paraId="6482D892" w14:textId="77777777" w:rsidR="003E548A" w:rsidRPr="00065574" w:rsidRDefault="003E548A" w:rsidP="003E548A">
      <w:pPr>
        <w:tabs>
          <w:tab w:val="center" w:pos="4252"/>
          <w:tab w:val="right" w:pos="8504"/>
        </w:tabs>
        <w:ind w:left="709"/>
        <w:jc w:val="both"/>
        <w:rPr>
          <w:rFonts w:ascii="Helvetica" w:eastAsia="MS Mincho" w:hAnsi="Helvetica" w:cs="Times New Roman"/>
          <w:b/>
        </w:rPr>
      </w:pPr>
      <w:r w:rsidRPr="00065574">
        <w:rPr>
          <w:rFonts w:ascii="Helvetica" w:eastAsia="MS Mincho" w:hAnsi="Helvetica" w:cs="Times New Roman"/>
          <w:b/>
        </w:rPr>
        <w:t>Bases de Preparación de los Estados Financieros</w:t>
      </w:r>
    </w:p>
    <w:p w14:paraId="0ABB55B9" w14:textId="77777777" w:rsidR="003E548A" w:rsidRPr="00065574" w:rsidRDefault="003E548A" w:rsidP="003E548A">
      <w:pPr>
        <w:tabs>
          <w:tab w:val="center" w:pos="4252"/>
          <w:tab w:val="right" w:pos="8504"/>
        </w:tabs>
        <w:ind w:left="709"/>
        <w:jc w:val="both"/>
        <w:rPr>
          <w:rFonts w:ascii="Helvetica" w:eastAsia="MS Mincho" w:hAnsi="Helvetica" w:cs="Times New Roman"/>
          <w:b/>
        </w:rPr>
      </w:pPr>
    </w:p>
    <w:p w14:paraId="4FD45746" w14:textId="77777777" w:rsidR="003E548A" w:rsidRDefault="003E548A" w:rsidP="003E548A">
      <w:pPr>
        <w:tabs>
          <w:tab w:val="center" w:pos="4252"/>
          <w:tab w:val="right" w:pos="8504"/>
        </w:tabs>
        <w:jc w:val="both"/>
        <w:rPr>
          <w:rFonts w:ascii="Cambria" w:eastAsia="MS Mincho" w:hAnsi="Cambria" w:cs="Times New Roman"/>
          <w:sz w:val="22"/>
        </w:rPr>
      </w:pPr>
      <w:r w:rsidRPr="00065574">
        <w:rPr>
          <w:rFonts w:ascii="Cambria" w:eastAsia="MS Mincho" w:hAnsi="Cambria" w:cs="Times New Roman"/>
          <w:sz w:val="22"/>
        </w:rPr>
        <w:t xml:space="preserve">Fueron formulados en base a la Ley General de Contabilidad Gubernamental y los Acuerdos y Lineamientos emitidos por el Consejo de Armonización Contable (CONAC) y con base a la normatividad Hacendaria emitida </w:t>
      </w:r>
      <w:r w:rsidRPr="00A53649">
        <w:rPr>
          <w:rFonts w:ascii="Cambria" w:eastAsia="MS Mincho" w:hAnsi="Cambria" w:cs="Times New Roman"/>
          <w:sz w:val="22"/>
        </w:rPr>
        <w:t>por la Auditoría Superior del Estado.</w:t>
      </w:r>
    </w:p>
    <w:p w14:paraId="2024F3B2" w14:textId="77777777" w:rsidR="003E548A" w:rsidRDefault="003E548A" w:rsidP="003E548A">
      <w:pPr>
        <w:tabs>
          <w:tab w:val="center" w:pos="4252"/>
          <w:tab w:val="right" w:pos="8504"/>
        </w:tabs>
        <w:jc w:val="both"/>
        <w:rPr>
          <w:rFonts w:ascii="Cambria" w:eastAsia="MS Mincho" w:hAnsi="Cambria" w:cs="Times New Roman"/>
          <w:sz w:val="22"/>
        </w:rPr>
      </w:pPr>
    </w:p>
    <w:p w14:paraId="44A5B048" w14:textId="436B941B" w:rsidR="003E548A" w:rsidRPr="00065574" w:rsidRDefault="00F146FF" w:rsidP="00F146FF">
      <w:pPr>
        <w:tabs>
          <w:tab w:val="center" w:pos="4252"/>
          <w:tab w:val="right" w:pos="8504"/>
        </w:tabs>
        <w:ind w:left="709"/>
        <w:jc w:val="both"/>
        <w:rPr>
          <w:rFonts w:ascii="Helvetica" w:eastAsia="MS Mincho" w:hAnsi="Helvetica" w:cs="Times New Roman"/>
          <w:b/>
        </w:rPr>
      </w:pPr>
      <w:r>
        <w:rPr>
          <w:rFonts w:ascii="Helvetica" w:eastAsia="MS Mincho" w:hAnsi="Helvetica" w:cs="Times New Roman"/>
          <w:b/>
        </w:rPr>
        <w:tab/>
      </w:r>
      <w:r w:rsidR="003E548A" w:rsidRPr="00065574">
        <w:rPr>
          <w:rFonts w:ascii="Helvetica" w:eastAsia="MS Mincho" w:hAnsi="Helvetica" w:cs="Times New Roman"/>
          <w:b/>
        </w:rPr>
        <w:t>Características del Sistema de Contabilidad Gubernamental (SCG)</w:t>
      </w:r>
    </w:p>
    <w:p w14:paraId="236891F9" w14:textId="77777777" w:rsidR="003E548A" w:rsidRPr="00065574" w:rsidRDefault="003E548A" w:rsidP="003E548A">
      <w:pPr>
        <w:tabs>
          <w:tab w:val="center" w:pos="4252"/>
          <w:tab w:val="right" w:pos="8504"/>
        </w:tabs>
        <w:jc w:val="both"/>
        <w:rPr>
          <w:rFonts w:ascii="Helvetica" w:eastAsia="MS Mincho" w:hAnsi="Helvetica" w:cs="Times New Roman"/>
          <w:b/>
        </w:rPr>
      </w:pPr>
    </w:p>
    <w:p w14:paraId="7DB4D2CC" w14:textId="77777777" w:rsidR="003E548A" w:rsidRPr="00065574" w:rsidRDefault="003E548A" w:rsidP="003E548A">
      <w:pPr>
        <w:tabs>
          <w:tab w:val="center" w:pos="4252"/>
          <w:tab w:val="right" w:pos="8504"/>
        </w:tabs>
        <w:jc w:val="both"/>
        <w:rPr>
          <w:rFonts w:ascii="Cambria" w:eastAsia="MS Mincho" w:hAnsi="Cambria" w:cs="Times New Roman"/>
          <w:sz w:val="22"/>
        </w:rPr>
      </w:pPr>
      <w:r w:rsidRPr="00065574">
        <w:rPr>
          <w:rFonts w:ascii="Cambria" w:eastAsia="MS Mincho" w:hAnsi="Cambria" w:cs="Times New Roman"/>
          <w:sz w:val="22"/>
        </w:rPr>
        <w:t>El Sistema que utiliza el Municipio para el registro de sus operaciones presupuestales y contables es el Sistema Integral de Administración Hacendaria Municipal (SIAHM), mismos que son los establecidos por la Auditoría Superior del Estado.</w:t>
      </w:r>
    </w:p>
    <w:p w14:paraId="1D07D80B" w14:textId="77777777" w:rsidR="003E548A" w:rsidRPr="00F146FF" w:rsidRDefault="003E548A" w:rsidP="003E548A">
      <w:pPr>
        <w:tabs>
          <w:tab w:val="center" w:pos="4252"/>
          <w:tab w:val="right" w:pos="8504"/>
        </w:tabs>
        <w:jc w:val="both"/>
        <w:rPr>
          <w:rFonts w:ascii="Cambria" w:eastAsia="MS Mincho" w:hAnsi="Cambria" w:cs="Times New Roman"/>
          <w:sz w:val="12"/>
          <w:szCs w:val="12"/>
        </w:rPr>
      </w:pPr>
    </w:p>
    <w:p w14:paraId="50F7E241" w14:textId="77777777" w:rsidR="003E548A" w:rsidRPr="00065574" w:rsidRDefault="003E548A" w:rsidP="003E548A">
      <w:pPr>
        <w:tabs>
          <w:tab w:val="center" w:pos="4252"/>
          <w:tab w:val="right" w:pos="8504"/>
        </w:tabs>
        <w:jc w:val="both"/>
        <w:rPr>
          <w:rFonts w:ascii="Cambria" w:eastAsia="MS Mincho" w:hAnsi="Cambria" w:cs="Times New Roman"/>
          <w:sz w:val="22"/>
        </w:rPr>
      </w:pPr>
      <w:r w:rsidRPr="00065574">
        <w:rPr>
          <w:rFonts w:ascii="Cambria" w:eastAsia="MS Mincho" w:hAnsi="Cambria" w:cs="Times New Roman"/>
          <w:sz w:val="22"/>
        </w:rPr>
        <w:t>El sistema, registra de manera armónica, delimitada y específica las operaciones presupuestarias y contables derivadas de los registros contables y presupuestarios, Asimismo, generará estados financieros, confiables, oportunos, comprensibles, periódicos y comparables.</w:t>
      </w:r>
    </w:p>
    <w:p w14:paraId="50AFC3A9" w14:textId="77777777" w:rsidR="003E548A" w:rsidRPr="00F146FF" w:rsidRDefault="003E548A" w:rsidP="003E548A">
      <w:pPr>
        <w:tabs>
          <w:tab w:val="center" w:pos="4252"/>
          <w:tab w:val="right" w:pos="8504"/>
        </w:tabs>
        <w:jc w:val="both"/>
        <w:rPr>
          <w:rFonts w:ascii="Cambria" w:eastAsia="MS Mincho" w:hAnsi="Cambria" w:cs="Times New Roman"/>
          <w:sz w:val="12"/>
          <w:szCs w:val="12"/>
        </w:rPr>
      </w:pPr>
    </w:p>
    <w:p w14:paraId="01F20164" w14:textId="77777777" w:rsidR="003E548A" w:rsidRPr="00065574" w:rsidRDefault="003E548A" w:rsidP="003E548A">
      <w:pPr>
        <w:tabs>
          <w:tab w:val="center" w:pos="4252"/>
          <w:tab w:val="right" w:pos="8504"/>
        </w:tabs>
        <w:jc w:val="both"/>
        <w:rPr>
          <w:rFonts w:ascii="Cambria" w:eastAsia="MS Mincho" w:hAnsi="Cambria" w:cs="Times New Roman"/>
          <w:sz w:val="22"/>
        </w:rPr>
      </w:pPr>
      <w:r w:rsidRPr="00065574">
        <w:rPr>
          <w:rFonts w:ascii="Cambria" w:eastAsia="MS Mincho" w:hAnsi="Cambria" w:cs="Times New Roman"/>
          <w:sz w:val="22"/>
        </w:rPr>
        <w:t>Así mismo, el sistema efectúa los registros, procedimientos e informes, estructurados sobre la base de principios técnicos destinados a captar, valuar, registrar, clasificar, informar e interpretar, las transacciones y eventos que, derivados de la actividad económica del Municipio modifican la situación patrimonial del mismo.</w:t>
      </w:r>
    </w:p>
    <w:p w14:paraId="3C2C0862" w14:textId="77777777" w:rsidR="003E548A" w:rsidRPr="00065574" w:rsidRDefault="003E548A" w:rsidP="003E548A">
      <w:pPr>
        <w:tabs>
          <w:tab w:val="center" w:pos="4252"/>
          <w:tab w:val="right" w:pos="8504"/>
        </w:tabs>
        <w:ind w:left="709"/>
        <w:jc w:val="both"/>
        <w:rPr>
          <w:rFonts w:ascii="Cambria" w:eastAsia="MS Mincho" w:hAnsi="Cambria" w:cs="Times New Roman"/>
          <w:sz w:val="22"/>
        </w:rPr>
      </w:pPr>
    </w:p>
    <w:p w14:paraId="004A7425" w14:textId="77777777" w:rsidR="003E548A" w:rsidRPr="00065574" w:rsidRDefault="003E548A" w:rsidP="003E548A">
      <w:pPr>
        <w:tabs>
          <w:tab w:val="center" w:pos="4252"/>
          <w:tab w:val="right" w:pos="8504"/>
        </w:tabs>
        <w:ind w:left="709"/>
        <w:jc w:val="both"/>
        <w:rPr>
          <w:rFonts w:ascii="Helvetica" w:eastAsia="MS Mincho" w:hAnsi="Helvetica" w:cs="Times New Roman"/>
          <w:b/>
        </w:rPr>
      </w:pPr>
      <w:r w:rsidRPr="00065574">
        <w:rPr>
          <w:rFonts w:ascii="Helvetica" w:eastAsia="MS Mincho" w:hAnsi="Helvetica" w:cs="Times New Roman"/>
          <w:b/>
        </w:rPr>
        <w:t>Políticas de Contabilidad Significativas</w:t>
      </w:r>
    </w:p>
    <w:p w14:paraId="43566012" w14:textId="77777777" w:rsidR="003E548A" w:rsidRPr="00065574" w:rsidRDefault="003E548A" w:rsidP="003E548A">
      <w:pPr>
        <w:tabs>
          <w:tab w:val="center" w:pos="4252"/>
          <w:tab w:val="right" w:pos="8504"/>
        </w:tabs>
        <w:ind w:left="709"/>
        <w:jc w:val="both"/>
        <w:rPr>
          <w:rFonts w:ascii="Helvetica" w:eastAsia="MS Mincho" w:hAnsi="Helvetica" w:cs="Times New Roman"/>
          <w:b/>
        </w:rPr>
      </w:pPr>
    </w:p>
    <w:p w14:paraId="63B067F5" w14:textId="7D6F0F98" w:rsidR="003E548A" w:rsidRDefault="003E548A" w:rsidP="003E548A">
      <w:pPr>
        <w:tabs>
          <w:tab w:val="center" w:pos="4252"/>
          <w:tab w:val="right" w:pos="8504"/>
        </w:tabs>
        <w:jc w:val="both"/>
        <w:rPr>
          <w:rFonts w:ascii="Cambria" w:eastAsia="MS Mincho" w:hAnsi="Cambria" w:cs="Times New Roman"/>
          <w:sz w:val="22"/>
        </w:rPr>
      </w:pPr>
      <w:r w:rsidRPr="00065574">
        <w:rPr>
          <w:rFonts w:ascii="Cambria" w:eastAsia="MS Mincho" w:hAnsi="Cambria" w:cs="Times New Roman"/>
          <w:sz w:val="22"/>
        </w:rPr>
        <w:t>El Marco Conceptual de Contabilidad Gubernamental es la base que se utiliza para el desarrollo de normas, valuación, contabilización, obtención y presentación de información contable y presupuestaria, en forma clara, oportuna, confiable y comparable, para satisfacer las necesidades de los usuarios, apegándose a los Postulados Básicos de Contabilidad Gubernamental: Sustancia Económica, Ente Público, Existencia Permanente, Revelación Suficiente, Importancia Relativa, Registro e Integración Presupuestaria, Consolidación de Información Financiera, Devengo Contable, Valuación, dualidad Económica, y Consistencia.</w:t>
      </w:r>
    </w:p>
    <w:p w14:paraId="28B62BF6" w14:textId="77777777" w:rsidR="00F146FF" w:rsidRPr="00F146FF" w:rsidRDefault="00F146FF" w:rsidP="003E548A">
      <w:pPr>
        <w:tabs>
          <w:tab w:val="center" w:pos="4252"/>
          <w:tab w:val="right" w:pos="8504"/>
        </w:tabs>
        <w:jc w:val="both"/>
        <w:rPr>
          <w:rFonts w:ascii="Cambria" w:eastAsia="MS Mincho" w:hAnsi="Cambria" w:cs="Times New Roman"/>
          <w:sz w:val="12"/>
          <w:szCs w:val="12"/>
        </w:rPr>
      </w:pPr>
    </w:p>
    <w:p w14:paraId="01910CEE" w14:textId="6FC14C03" w:rsidR="003E548A" w:rsidRDefault="003E548A" w:rsidP="003E548A">
      <w:pPr>
        <w:tabs>
          <w:tab w:val="center" w:pos="4252"/>
          <w:tab w:val="right" w:pos="8504"/>
        </w:tabs>
        <w:jc w:val="both"/>
        <w:rPr>
          <w:rFonts w:ascii="Cambria" w:eastAsia="MS Mincho" w:hAnsi="Cambria" w:cs="Times New Roman"/>
          <w:sz w:val="22"/>
        </w:rPr>
      </w:pPr>
      <w:r w:rsidRPr="00065574">
        <w:rPr>
          <w:rFonts w:ascii="Cambria" w:eastAsia="MS Mincho" w:hAnsi="Cambria" w:cs="Times New Roman"/>
          <w:sz w:val="22"/>
        </w:rPr>
        <w:t>Respetando y utilizando los Momentos Contables de los Ingresos y Egresos, Estructura del ¨Plan de Cuentas, Clasificador por Objeto de Gasto, Clasificador por Rubro de Ingresos y funcional del gasto; así como las Normas y Metodologías para la Emisión de Información Financiera y Estructura de los Estados Financieros que emitió el Consejo de Armonización Contable (CONAC).</w:t>
      </w:r>
    </w:p>
    <w:p w14:paraId="658E1283" w14:textId="77777777" w:rsidR="00F146FF" w:rsidRPr="00F146FF" w:rsidRDefault="00F146FF" w:rsidP="003E548A">
      <w:pPr>
        <w:tabs>
          <w:tab w:val="center" w:pos="4252"/>
          <w:tab w:val="right" w:pos="8504"/>
        </w:tabs>
        <w:jc w:val="both"/>
        <w:rPr>
          <w:rFonts w:ascii="Cambria" w:eastAsia="MS Mincho" w:hAnsi="Cambria" w:cs="Times New Roman"/>
          <w:sz w:val="12"/>
          <w:szCs w:val="12"/>
        </w:rPr>
      </w:pPr>
    </w:p>
    <w:p w14:paraId="34A9C1A8" w14:textId="16691C82" w:rsidR="003E548A" w:rsidRDefault="003E548A" w:rsidP="003E548A">
      <w:pPr>
        <w:tabs>
          <w:tab w:val="center" w:pos="4252"/>
          <w:tab w:val="right" w:pos="8504"/>
        </w:tabs>
        <w:jc w:val="both"/>
        <w:rPr>
          <w:rFonts w:ascii="Cambria" w:eastAsia="MS Mincho" w:hAnsi="Cambria" w:cs="Times New Roman"/>
          <w:sz w:val="22"/>
        </w:rPr>
      </w:pPr>
      <w:r w:rsidRPr="00065574">
        <w:rPr>
          <w:rFonts w:ascii="Cambria" w:eastAsia="MS Mincho" w:hAnsi="Cambria" w:cs="Times New Roman"/>
          <w:sz w:val="22"/>
        </w:rPr>
        <w:t>Utilizando las principales Reglas de Registro y Valoración del Patrimonio, y adoptando los Lineamientos para la elaboración del Catálogo de Bienes que permita la interrelación automática con el Clasificador por Objeto del Gasto y la Lista de Cuentas</w:t>
      </w:r>
    </w:p>
    <w:p w14:paraId="597776CD" w14:textId="77777777" w:rsidR="00F146FF" w:rsidRPr="00F146FF" w:rsidRDefault="00F146FF" w:rsidP="003E548A">
      <w:pPr>
        <w:tabs>
          <w:tab w:val="center" w:pos="4252"/>
          <w:tab w:val="right" w:pos="8504"/>
        </w:tabs>
        <w:jc w:val="both"/>
        <w:rPr>
          <w:rFonts w:ascii="Cambria" w:eastAsia="MS Mincho" w:hAnsi="Cambria" w:cs="Times New Roman"/>
          <w:sz w:val="12"/>
          <w:szCs w:val="12"/>
        </w:rPr>
      </w:pPr>
    </w:p>
    <w:p w14:paraId="6F77108A" w14:textId="77777777" w:rsidR="003E548A" w:rsidRPr="00065574" w:rsidRDefault="003E548A" w:rsidP="003E548A">
      <w:pPr>
        <w:tabs>
          <w:tab w:val="center" w:pos="4252"/>
          <w:tab w:val="right" w:pos="8504"/>
        </w:tabs>
        <w:jc w:val="both"/>
        <w:rPr>
          <w:rFonts w:ascii="Cambria" w:eastAsia="MS Mincho" w:hAnsi="Cambria" w:cs="Times New Roman"/>
          <w:sz w:val="22"/>
        </w:rPr>
      </w:pPr>
      <w:r w:rsidRPr="00065574">
        <w:rPr>
          <w:rFonts w:ascii="Cambria" w:eastAsia="MS Mincho" w:hAnsi="Cambria" w:cs="Times New Roman"/>
          <w:sz w:val="22"/>
        </w:rPr>
        <w:t>La Clave Presupuestal fue elaborada respetando la Clasificación Administrativa, Funcional del Gasto, Programática, por Objeto de Gasto y tipo de Gasto y Fuente de Financiamiento.</w:t>
      </w:r>
    </w:p>
    <w:p w14:paraId="45C2608D" w14:textId="77777777" w:rsidR="003E548A" w:rsidRPr="00065574" w:rsidRDefault="003E548A" w:rsidP="003E548A">
      <w:pPr>
        <w:tabs>
          <w:tab w:val="center" w:pos="4252"/>
          <w:tab w:val="right" w:pos="8504"/>
        </w:tabs>
        <w:ind w:left="709"/>
        <w:jc w:val="both"/>
        <w:rPr>
          <w:rFonts w:ascii="Helvetica" w:eastAsia="MS Mincho" w:hAnsi="Helvetica" w:cs="Times New Roman"/>
          <w:b/>
          <w:highlight w:val="green"/>
        </w:rPr>
      </w:pPr>
    </w:p>
    <w:p w14:paraId="4CFEDE5C" w14:textId="77777777" w:rsidR="003E548A" w:rsidRPr="00065574" w:rsidRDefault="003E548A" w:rsidP="003E548A">
      <w:pPr>
        <w:tabs>
          <w:tab w:val="center" w:pos="4252"/>
          <w:tab w:val="right" w:pos="8504"/>
        </w:tabs>
        <w:ind w:left="709"/>
        <w:jc w:val="both"/>
        <w:rPr>
          <w:rFonts w:ascii="Helvetica" w:eastAsia="MS Mincho" w:hAnsi="Helvetica" w:cs="Times New Roman"/>
          <w:b/>
          <w:highlight w:val="green"/>
        </w:rPr>
      </w:pPr>
    </w:p>
    <w:p w14:paraId="68A540CB" w14:textId="77777777" w:rsidR="00731304" w:rsidRPr="001054A4" w:rsidRDefault="003E548A" w:rsidP="003E548A">
      <w:pPr>
        <w:tabs>
          <w:tab w:val="center" w:pos="4252"/>
          <w:tab w:val="right" w:pos="8504"/>
        </w:tabs>
        <w:ind w:left="709"/>
        <w:jc w:val="both"/>
        <w:rPr>
          <w:rFonts w:ascii="Calibri" w:hAnsi="Calibri"/>
        </w:rPr>
      </w:pPr>
      <w:r w:rsidRPr="00065574">
        <w:rPr>
          <w:rFonts w:ascii="Cambria" w:eastAsia="MS Mincho" w:hAnsi="Cambria" w:cs="Times New Roman"/>
          <w:b/>
          <w:i/>
          <w:sz w:val="22"/>
        </w:rPr>
        <w:t>“Bajo protesta de decir verdad declaramos que los Estados Financieros y sus notas, son razonablemente correctos y son responsabilidad del emisor”.</w:t>
      </w:r>
    </w:p>
    <w:sectPr w:rsidR="00731304" w:rsidRPr="001054A4" w:rsidSect="00F146FF">
      <w:headerReference w:type="default" r:id="rId6"/>
      <w:footerReference w:type="default" r:id="rId7"/>
      <w:pgSz w:w="12240" w:h="15840" w:code="1"/>
      <w:pgMar w:top="1701" w:right="1134" w:bottom="1418" w:left="113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1D13" w14:textId="77777777" w:rsidR="003B17D8" w:rsidRDefault="003B17D8" w:rsidP="00BB1B81">
      <w:r>
        <w:separator/>
      </w:r>
    </w:p>
  </w:endnote>
  <w:endnote w:type="continuationSeparator" w:id="0">
    <w:p w14:paraId="536A68E2" w14:textId="77777777" w:rsidR="003B17D8" w:rsidRDefault="003B17D8" w:rsidP="00BB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Exo 2 Medium">
    <w:altName w:val="Arial"/>
    <w:panose1 w:val="00000000000000000000"/>
    <w:charset w:val="00"/>
    <w:family w:val="modern"/>
    <w:notTrueType/>
    <w:pitch w:val="variable"/>
    <w:sig w:usb0="20000207" w:usb1="00000001" w:usb2="00000000" w:usb3="00000000" w:csb0="00000197" w:csb1="00000000"/>
  </w:font>
  <w:font w:name="Exo 2">
    <w:altName w:val="Courier New"/>
    <w:panose1 w:val="00000000000000000000"/>
    <w:charset w:val="00"/>
    <w:family w:val="modern"/>
    <w:notTrueType/>
    <w:pitch w:val="variable"/>
    <w:sig w:usb0="20000207" w:usb1="00000001"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0E2F" w14:textId="77777777" w:rsidR="00234DA8" w:rsidRDefault="003E548A">
    <w:pPr>
      <w:pStyle w:val="Piedepgina"/>
    </w:pPr>
    <w:r>
      <w:rPr>
        <w:noProof/>
        <w:lang w:val="es-MX" w:eastAsia="es-MX"/>
      </w:rPr>
      <mc:AlternateContent>
        <mc:Choice Requires="wps">
          <w:drawing>
            <wp:anchor distT="0" distB="0" distL="114300" distR="114300" simplePos="0" relativeHeight="251662336" behindDoc="0" locked="0" layoutInCell="1" allowOverlap="1" wp14:anchorId="2D1E8F34" wp14:editId="3B4BCEAF">
              <wp:simplePos x="0" y="0"/>
              <wp:positionH relativeFrom="column">
                <wp:posOffset>2716530</wp:posOffset>
              </wp:positionH>
              <wp:positionV relativeFrom="paragraph">
                <wp:posOffset>-109220</wp:posOffset>
              </wp:positionV>
              <wp:extent cx="4116705" cy="6553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6705" cy="655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C80325" w14:textId="77777777" w:rsidR="00E41DB1" w:rsidRPr="00F146FF" w:rsidRDefault="00E41DB1" w:rsidP="00F146FF">
                          <w:pPr>
                            <w:jc w:val="right"/>
                            <w:rPr>
                              <w:rFonts w:ascii="Exo 2" w:hAnsi="Exo 2"/>
                              <w:sz w:val="16"/>
                              <w:szCs w:val="16"/>
                            </w:rPr>
                          </w:pPr>
                          <w:r w:rsidRPr="00F146FF">
                            <w:rPr>
                              <w:rFonts w:ascii="Exo 2" w:hAnsi="Exo 2"/>
                              <w:sz w:val="16"/>
                              <w:szCs w:val="16"/>
                            </w:rPr>
                            <w:t xml:space="preserve">H. Ayuntamiento Constitucional de Tuxtla </w:t>
                          </w:r>
                          <w:proofErr w:type="gramStart"/>
                          <w:r w:rsidRPr="00F146FF">
                            <w:rPr>
                              <w:rFonts w:ascii="Exo 2" w:hAnsi="Exo 2"/>
                              <w:sz w:val="16"/>
                              <w:szCs w:val="16"/>
                            </w:rPr>
                            <w:t>Gutiér</w:t>
                          </w:r>
                          <w:r w:rsidR="00E606A7" w:rsidRPr="00F146FF">
                            <w:rPr>
                              <w:rFonts w:ascii="Exo 2" w:hAnsi="Exo 2"/>
                              <w:sz w:val="16"/>
                              <w:szCs w:val="16"/>
                            </w:rPr>
                            <w:t>rez  Administración</w:t>
                          </w:r>
                          <w:proofErr w:type="gramEnd"/>
                          <w:r w:rsidR="00E606A7" w:rsidRPr="00F146FF">
                            <w:rPr>
                              <w:rFonts w:ascii="Exo 2" w:hAnsi="Exo 2"/>
                              <w:sz w:val="16"/>
                              <w:szCs w:val="16"/>
                            </w:rPr>
                            <w:t xml:space="preserve"> 2018 - </w:t>
                          </w:r>
                          <w:r w:rsidRPr="00F146FF">
                            <w:rPr>
                              <w:rFonts w:ascii="Exo 2" w:hAnsi="Exo 2"/>
                              <w:sz w:val="16"/>
                              <w:szCs w:val="16"/>
                            </w:rPr>
                            <w:t>2021</w:t>
                          </w:r>
                        </w:p>
                        <w:p w14:paraId="4F2D874B" w14:textId="77777777" w:rsidR="00E41DB1" w:rsidRPr="00F146FF" w:rsidRDefault="00E41DB1" w:rsidP="00F146FF">
                          <w:pPr>
                            <w:jc w:val="right"/>
                            <w:rPr>
                              <w:rFonts w:ascii="Exo 2" w:hAnsi="Exo 2"/>
                              <w:sz w:val="16"/>
                              <w:szCs w:val="16"/>
                            </w:rPr>
                          </w:pPr>
                          <w:r w:rsidRPr="00F146FF">
                            <w:rPr>
                              <w:rFonts w:ascii="Exo 2" w:hAnsi="Exo 2"/>
                              <w:sz w:val="16"/>
                              <w:szCs w:val="16"/>
                            </w:rPr>
                            <w:t>Calle Central y Segunda Norte S/N, Col. Centro, C.P. 2</w:t>
                          </w:r>
                          <w:r w:rsidR="00E606A7" w:rsidRPr="00F146FF">
                            <w:rPr>
                              <w:rFonts w:ascii="Exo 2" w:hAnsi="Exo 2"/>
                              <w:sz w:val="16"/>
                              <w:szCs w:val="16"/>
                            </w:rPr>
                            <w:t>9000, Tuxtla Gutiérrez, Chiapas</w:t>
                          </w:r>
                        </w:p>
                        <w:p w14:paraId="20AC34F8" w14:textId="581E5AC6" w:rsidR="00E41DB1" w:rsidRPr="00F146FF" w:rsidRDefault="002A5CB2" w:rsidP="00F146FF">
                          <w:pPr>
                            <w:jc w:val="right"/>
                            <w:rPr>
                              <w:rFonts w:ascii="Exo 2" w:hAnsi="Exo 2"/>
                              <w:sz w:val="16"/>
                              <w:szCs w:val="16"/>
                            </w:rPr>
                          </w:pPr>
                          <w:r w:rsidRPr="00F146FF">
                            <w:rPr>
                              <w:rFonts w:ascii="Exo 2" w:hAnsi="Exo 2"/>
                              <w:sz w:val="16"/>
                              <w:szCs w:val="16"/>
                            </w:rPr>
                            <w:t>Teléfono: (961) 612 5511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E8F34" id="_x0000_t202" coordsize="21600,21600" o:spt="202" path="m,l,21600r21600,l21600,xe">
              <v:stroke joinstyle="miter"/>
              <v:path gradientshapeok="t" o:connecttype="rect"/>
            </v:shapetype>
            <v:shape id="Cuadro de texto 6" o:spid="_x0000_s1027" type="#_x0000_t202" style="position:absolute;margin-left:213.9pt;margin-top:-8.6pt;width:324.15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" filled="f" stroked="f">
              <v:textbox>
                <w:txbxContent>
                  <w:p w14:paraId="77C80325" w14:textId="77777777" w:rsidR="00E41DB1" w:rsidRPr="00F146FF" w:rsidRDefault="00E41DB1" w:rsidP="00F146FF">
                    <w:pPr>
                      <w:jc w:val="right"/>
                      <w:rPr>
                        <w:rFonts w:ascii="Exo 2" w:hAnsi="Exo 2"/>
                        <w:sz w:val="16"/>
                        <w:szCs w:val="16"/>
                      </w:rPr>
                    </w:pPr>
                    <w:r w:rsidRPr="00F146FF">
                      <w:rPr>
                        <w:rFonts w:ascii="Exo 2" w:hAnsi="Exo 2"/>
                        <w:sz w:val="16"/>
                        <w:szCs w:val="16"/>
                      </w:rPr>
                      <w:t>H. Ayuntamiento Constitucional de Tuxtla Gutiér</w:t>
                    </w:r>
                    <w:r w:rsidR="00E606A7" w:rsidRPr="00F146FF">
                      <w:rPr>
                        <w:rFonts w:ascii="Exo 2" w:hAnsi="Exo 2"/>
                        <w:sz w:val="16"/>
                        <w:szCs w:val="16"/>
                      </w:rPr>
                      <w:t xml:space="preserve">rez  Administración 2018 - </w:t>
                    </w:r>
                    <w:r w:rsidRPr="00F146FF">
                      <w:rPr>
                        <w:rFonts w:ascii="Exo 2" w:hAnsi="Exo 2"/>
                        <w:sz w:val="16"/>
                        <w:szCs w:val="16"/>
                      </w:rPr>
                      <w:t>2021</w:t>
                    </w:r>
                  </w:p>
                  <w:p w14:paraId="4F2D874B" w14:textId="77777777" w:rsidR="00E41DB1" w:rsidRPr="00F146FF" w:rsidRDefault="00E41DB1" w:rsidP="00F146FF">
                    <w:pPr>
                      <w:jc w:val="right"/>
                      <w:rPr>
                        <w:rFonts w:ascii="Exo 2" w:hAnsi="Exo 2"/>
                        <w:sz w:val="16"/>
                        <w:szCs w:val="16"/>
                      </w:rPr>
                    </w:pPr>
                    <w:r w:rsidRPr="00F146FF">
                      <w:rPr>
                        <w:rFonts w:ascii="Exo 2" w:hAnsi="Exo 2"/>
                        <w:sz w:val="16"/>
                        <w:szCs w:val="16"/>
                      </w:rPr>
                      <w:t>Calle Central y Segunda Norte S/N, Col. Centro, C.P. 2</w:t>
                    </w:r>
                    <w:r w:rsidR="00E606A7" w:rsidRPr="00F146FF">
                      <w:rPr>
                        <w:rFonts w:ascii="Exo 2" w:hAnsi="Exo 2"/>
                        <w:sz w:val="16"/>
                        <w:szCs w:val="16"/>
                      </w:rPr>
                      <w:t>9000, Tuxtla Gutiérrez, Chiapas</w:t>
                    </w:r>
                  </w:p>
                  <w:p w14:paraId="20AC34F8" w14:textId="581E5AC6" w:rsidR="00E41DB1" w:rsidRPr="00F146FF" w:rsidRDefault="002A5CB2" w:rsidP="00F146FF">
                    <w:pPr>
                      <w:jc w:val="right"/>
                      <w:rPr>
                        <w:rFonts w:ascii="Exo 2" w:hAnsi="Exo 2"/>
                        <w:sz w:val="16"/>
                        <w:szCs w:val="16"/>
                      </w:rPr>
                    </w:pPr>
                    <w:r w:rsidRPr="00F146FF">
                      <w:rPr>
                        <w:rFonts w:ascii="Exo 2" w:hAnsi="Exo 2"/>
                        <w:sz w:val="16"/>
                        <w:szCs w:val="16"/>
                      </w:rPr>
                      <w:t>Teléfono: (961) 612 5511</w:t>
                    </w:r>
                  </w:p>
                </w:txbxContent>
              </v:textbox>
            </v:shape>
          </w:pict>
        </mc:Fallback>
      </mc:AlternateContent>
    </w:r>
  </w:p>
  <w:p w14:paraId="7443F48B" w14:textId="77777777" w:rsidR="00234DA8" w:rsidRDefault="00234DA8">
    <w:pPr>
      <w:pStyle w:val="Piedepgina"/>
    </w:pPr>
  </w:p>
  <w:p w14:paraId="6E095FAB" w14:textId="77777777" w:rsidR="00BB1B81" w:rsidRDefault="003E548A">
    <w:pPr>
      <w:pStyle w:val="Piedepgina"/>
    </w:pPr>
    <w:r>
      <w:rPr>
        <w:noProof/>
        <w:lang w:val="es-MX" w:eastAsia="es-MX"/>
      </w:rPr>
      <mc:AlternateContent>
        <mc:Choice Requires="wps">
          <w:drawing>
            <wp:anchor distT="0" distB="0" distL="114300" distR="114300" simplePos="0" relativeHeight="251663360" behindDoc="0" locked="0" layoutInCell="1" allowOverlap="1" wp14:anchorId="2F16182B" wp14:editId="7DA9F465">
              <wp:simplePos x="0" y="0"/>
              <wp:positionH relativeFrom="column">
                <wp:posOffset>5081270</wp:posOffset>
              </wp:positionH>
              <wp:positionV relativeFrom="paragraph">
                <wp:posOffset>360045</wp:posOffset>
              </wp:positionV>
              <wp:extent cx="1709420" cy="276225"/>
              <wp:effectExtent l="0" t="0" r="0"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9420"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FCA97" w14:textId="77777777" w:rsidR="002A5CB2" w:rsidRPr="002A5CB2" w:rsidRDefault="002A5CB2" w:rsidP="002A5CB2">
                          <w:pPr>
                            <w:jc w:val="right"/>
                            <w:rPr>
                              <w:color w:val="FFFFFF" w:themeColor="background1"/>
                              <w:sz w:val="18"/>
                              <w:szCs w:val="18"/>
                            </w:rPr>
                          </w:pPr>
                          <w:r w:rsidRPr="002A5CB2">
                            <w:rPr>
                              <w:rFonts w:ascii="Exo 2" w:hAnsi="Exo 2"/>
                              <w:color w:val="FFFFFF" w:themeColor="background1"/>
                              <w:sz w:val="18"/>
                              <w:szCs w:val="18"/>
                            </w:rPr>
                            <w:t>www.tuxtla.gob.mx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182B" id="Cuadro de texto 7" o:spid="_x0000_s1028" type="#_x0000_t202" style="position:absolute;margin-left:400.1pt;margin-top:28.35pt;width:134.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" filled="f" stroked="f">
              <v:textbox>
                <w:txbxContent>
                  <w:p w14:paraId="7BDFCA97" w14:textId="77777777" w:rsidR="002A5CB2" w:rsidRPr="002A5CB2" w:rsidRDefault="002A5CB2" w:rsidP="002A5CB2">
                    <w:pPr>
                      <w:jc w:val="right"/>
                      <w:rPr>
                        <w:color w:val="FFFFFF" w:themeColor="background1"/>
                        <w:sz w:val="18"/>
                        <w:szCs w:val="18"/>
                      </w:rPr>
                    </w:pPr>
                    <w:r w:rsidRPr="002A5CB2">
                      <w:rPr>
                        <w:rFonts w:ascii="Exo 2" w:hAnsi="Exo 2"/>
                        <w:color w:val="FFFFFF" w:themeColor="background1"/>
                        <w:sz w:val="18"/>
                        <w:szCs w:val="18"/>
                      </w:rPr>
                      <w:t>www.tuxtla.gob.mx</w:t>
                    </w:r>
                  </w:p>
                </w:txbxContent>
              </v:textbox>
            </v:shape>
          </w:pict>
        </mc:Fallback>
      </mc:AlternateContent>
    </w:r>
    <w:r>
      <w:rPr>
        <w:noProof/>
        <w:lang w:val="es-MX" w:eastAsia="es-MX"/>
      </w:rPr>
      <mc:AlternateContent>
        <mc:Choice Requires="wps">
          <w:drawing>
            <wp:anchor distT="0" distB="0" distL="114300" distR="114300" simplePos="0" relativeHeight="251660288" behindDoc="1" locked="0" layoutInCell="1" allowOverlap="1" wp14:anchorId="7C11D188" wp14:editId="52A03E93">
              <wp:simplePos x="0" y="0"/>
              <wp:positionH relativeFrom="page">
                <wp:posOffset>219075</wp:posOffset>
              </wp:positionH>
              <wp:positionV relativeFrom="paragraph">
                <wp:posOffset>135890</wp:posOffset>
              </wp:positionV>
              <wp:extent cx="9639300" cy="4254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39300" cy="4254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6FDA5" w14:textId="77777777" w:rsidR="00BB1B81" w:rsidRPr="00BB1B81" w:rsidRDefault="00BB1B81" w:rsidP="00BB1B81">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1D188" id="Rectángulo 2" o:spid="_x0000_s1029" style="position:absolute;margin-left:17.25pt;margin-top:10.7pt;width:759pt;height: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" fillcolor="gray [1629]" stroked="f" strokeweight="1pt">
              <v:textbox>
                <w:txbxContent>
                  <w:p w14:paraId="72A6FDA5" w14:textId="77777777" w:rsidR="00BB1B81" w:rsidRPr="00BB1B81" w:rsidRDefault="00BB1B81" w:rsidP="00BB1B81">
                    <w:pPr>
                      <w:rPr>
                        <w:lang w:val="es-ES"/>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F52C" w14:textId="77777777" w:rsidR="003B17D8" w:rsidRDefault="003B17D8" w:rsidP="00BB1B81">
      <w:r>
        <w:separator/>
      </w:r>
    </w:p>
  </w:footnote>
  <w:footnote w:type="continuationSeparator" w:id="0">
    <w:p w14:paraId="029203F3" w14:textId="77777777" w:rsidR="003B17D8" w:rsidRDefault="003B17D8" w:rsidP="00BB1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A0AC" w14:textId="77777777" w:rsidR="00BB1B81" w:rsidRDefault="003E548A">
    <w:pPr>
      <w:pStyle w:val="Encabezado"/>
    </w:pPr>
    <w:r>
      <w:rPr>
        <w:noProof/>
        <w:lang w:val="es-MX" w:eastAsia="es-MX"/>
      </w:rPr>
      <mc:AlternateContent>
        <mc:Choice Requires="wps">
          <w:drawing>
            <wp:anchor distT="0" distB="0" distL="114300" distR="114300" simplePos="0" relativeHeight="251661312" behindDoc="0" locked="0" layoutInCell="1" allowOverlap="1" wp14:anchorId="62EA1535" wp14:editId="493C7A8E">
              <wp:simplePos x="0" y="0"/>
              <wp:positionH relativeFrom="column">
                <wp:posOffset>3987165</wp:posOffset>
              </wp:positionH>
              <wp:positionV relativeFrom="paragraph">
                <wp:posOffset>178435</wp:posOffset>
              </wp:positionV>
              <wp:extent cx="2713990" cy="46672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3990" cy="466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8D6418" w14:textId="77777777" w:rsidR="00A576D8" w:rsidRPr="00E93076" w:rsidRDefault="00066C92" w:rsidP="00A576D8">
                          <w:pPr>
                            <w:jc w:val="right"/>
                            <w:rPr>
                              <w:rFonts w:ascii="Exo 2 Medium" w:hAnsi="Exo 2 Medium"/>
                              <w:b/>
                              <w:color w:val="595959" w:themeColor="text1" w:themeTint="A6"/>
                              <w:sz w:val="28"/>
                              <w:szCs w:val="28"/>
                              <w:lang w:val="es-ES"/>
                            </w:rPr>
                          </w:pPr>
                          <w:r w:rsidRPr="00E93076">
                            <w:rPr>
                              <w:rFonts w:ascii="Exo 2 Medium" w:hAnsi="Exo 2 Medium"/>
                              <w:b/>
                              <w:color w:val="595959" w:themeColor="text1" w:themeTint="A6"/>
                              <w:sz w:val="28"/>
                              <w:szCs w:val="28"/>
                              <w:lang w:val="es-ES"/>
                            </w:rPr>
                            <w:t>Tesorería Municipal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EA1535" id="_x0000_t202" coordsize="21600,21600" o:spt="202" path="m,l,21600r21600,l21600,xe">
              <v:stroke joinstyle="miter"/>
              <v:path gradientshapeok="t" o:connecttype="rect"/>
            </v:shapetype>
            <v:shape id="Cuadro de texto 4" o:spid="_x0000_s1026" type="#_x0000_t202" style="position:absolute;margin-left:313.95pt;margin-top:14.05pt;width:213.7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" filled="f" stroked="f">
              <v:textbox>
                <w:txbxContent>
                  <w:p w14:paraId="688D6418" w14:textId="77777777" w:rsidR="00A576D8" w:rsidRPr="00E93076" w:rsidRDefault="00066C92" w:rsidP="00A576D8">
                    <w:pPr>
                      <w:jc w:val="right"/>
                      <w:rPr>
                        <w:rFonts w:ascii="Exo 2 Medium" w:hAnsi="Exo 2 Medium"/>
                        <w:b/>
                        <w:color w:val="595959" w:themeColor="text1" w:themeTint="A6"/>
                        <w:sz w:val="28"/>
                        <w:szCs w:val="28"/>
                        <w:lang w:val="es-ES"/>
                      </w:rPr>
                    </w:pPr>
                    <w:r w:rsidRPr="00E93076">
                      <w:rPr>
                        <w:rFonts w:ascii="Exo 2 Medium" w:hAnsi="Exo 2 Medium"/>
                        <w:b/>
                        <w:color w:val="595959" w:themeColor="text1" w:themeTint="A6"/>
                        <w:sz w:val="28"/>
                        <w:szCs w:val="28"/>
                        <w:lang w:val="es-ES"/>
                      </w:rPr>
                      <w:t>Tesorería Municipal</w:t>
                    </w:r>
                  </w:p>
                </w:txbxContent>
              </v:textbox>
            </v:shape>
          </w:pict>
        </mc:Fallback>
      </mc:AlternateContent>
    </w:r>
    <w:r>
      <w:rPr>
        <w:noProof/>
        <w:lang w:val="es-MX" w:eastAsia="es-MX"/>
      </w:rPr>
      <w:drawing>
        <wp:anchor distT="0" distB="0" distL="114300" distR="114300" simplePos="0" relativeHeight="251659264" behindDoc="1" locked="0" layoutInCell="1" allowOverlap="1" wp14:anchorId="30366D6F" wp14:editId="3310F89E">
          <wp:simplePos x="0" y="0"/>
          <wp:positionH relativeFrom="margin">
            <wp:posOffset>-710565</wp:posOffset>
          </wp:positionH>
          <wp:positionV relativeFrom="paragraph">
            <wp:posOffset>-393065</wp:posOffset>
          </wp:positionV>
          <wp:extent cx="8162925" cy="148844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safatkalebhernandez/Desktop/encabezado_membret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162925" cy="1488440"/>
                  </a:xfrm>
                  <a:prstGeom prst="rect">
                    <a:avLst/>
                  </a:prstGeom>
                  <a:noFill/>
                  <a:ln>
                    <a:noFill/>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81"/>
    <w:rsid w:val="00021607"/>
    <w:rsid w:val="000313F8"/>
    <w:rsid w:val="00035D1F"/>
    <w:rsid w:val="00056ED5"/>
    <w:rsid w:val="00066C92"/>
    <w:rsid w:val="000760A7"/>
    <w:rsid w:val="0008457A"/>
    <w:rsid w:val="00097B75"/>
    <w:rsid w:val="000D2029"/>
    <w:rsid w:val="000D40C9"/>
    <w:rsid w:val="000D6D2F"/>
    <w:rsid w:val="001054A4"/>
    <w:rsid w:val="001641E4"/>
    <w:rsid w:val="00180521"/>
    <w:rsid w:val="001A03C0"/>
    <w:rsid w:val="001A311B"/>
    <w:rsid w:val="001A4B93"/>
    <w:rsid w:val="001B065C"/>
    <w:rsid w:val="00200236"/>
    <w:rsid w:val="002171A3"/>
    <w:rsid w:val="00234DA8"/>
    <w:rsid w:val="0024049D"/>
    <w:rsid w:val="0027025F"/>
    <w:rsid w:val="002A5CB2"/>
    <w:rsid w:val="002D59BD"/>
    <w:rsid w:val="002F679E"/>
    <w:rsid w:val="00373664"/>
    <w:rsid w:val="003B17D8"/>
    <w:rsid w:val="003B3984"/>
    <w:rsid w:val="003E548A"/>
    <w:rsid w:val="004060A8"/>
    <w:rsid w:val="004430FA"/>
    <w:rsid w:val="004C3796"/>
    <w:rsid w:val="004D0817"/>
    <w:rsid w:val="00543867"/>
    <w:rsid w:val="00554463"/>
    <w:rsid w:val="005C4F13"/>
    <w:rsid w:val="00670F8B"/>
    <w:rsid w:val="006714B4"/>
    <w:rsid w:val="00677331"/>
    <w:rsid w:val="00686DF2"/>
    <w:rsid w:val="006A5D28"/>
    <w:rsid w:val="006C4CAF"/>
    <w:rsid w:val="006C565B"/>
    <w:rsid w:val="006D38B5"/>
    <w:rsid w:val="006E115E"/>
    <w:rsid w:val="00715D0A"/>
    <w:rsid w:val="00731304"/>
    <w:rsid w:val="0077714D"/>
    <w:rsid w:val="007A321E"/>
    <w:rsid w:val="007B36E9"/>
    <w:rsid w:val="007D0CA5"/>
    <w:rsid w:val="007D1CC1"/>
    <w:rsid w:val="007D7C50"/>
    <w:rsid w:val="00826991"/>
    <w:rsid w:val="00831673"/>
    <w:rsid w:val="00844084"/>
    <w:rsid w:val="00865B8B"/>
    <w:rsid w:val="00890EFA"/>
    <w:rsid w:val="008A30B0"/>
    <w:rsid w:val="008B7480"/>
    <w:rsid w:val="008C086F"/>
    <w:rsid w:val="00914752"/>
    <w:rsid w:val="00944B0A"/>
    <w:rsid w:val="00945246"/>
    <w:rsid w:val="009458D7"/>
    <w:rsid w:val="00960C24"/>
    <w:rsid w:val="009B2D96"/>
    <w:rsid w:val="00A02131"/>
    <w:rsid w:val="00A146AE"/>
    <w:rsid w:val="00A174D8"/>
    <w:rsid w:val="00A51D49"/>
    <w:rsid w:val="00A536A9"/>
    <w:rsid w:val="00A576D8"/>
    <w:rsid w:val="00A65829"/>
    <w:rsid w:val="00AB72A3"/>
    <w:rsid w:val="00AC46C3"/>
    <w:rsid w:val="00AF3A27"/>
    <w:rsid w:val="00B01BA2"/>
    <w:rsid w:val="00B42B15"/>
    <w:rsid w:val="00B51DAA"/>
    <w:rsid w:val="00B94999"/>
    <w:rsid w:val="00BB1B81"/>
    <w:rsid w:val="00BE3821"/>
    <w:rsid w:val="00C24103"/>
    <w:rsid w:val="00C24F81"/>
    <w:rsid w:val="00C97DE8"/>
    <w:rsid w:val="00D25972"/>
    <w:rsid w:val="00D327B4"/>
    <w:rsid w:val="00DC73E7"/>
    <w:rsid w:val="00E41DB1"/>
    <w:rsid w:val="00E606A7"/>
    <w:rsid w:val="00E74F33"/>
    <w:rsid w:val="00E858C6"/>
    <w:rsid w:val="00E93076"/>
    <w:rsid w:val="00EB4AF4"/>
    <w:rsid w:val="00EF5385"/>
    <w:rsid w:val="00F146FF"/>
    <w:rsid w:val="00F44A9D"/>
    <w:rsid w:val="00F4668A"/>
    <w:rsid w:val="00F52F0F"/>
    <w:rsid w:val="00F856E5"/>
    <w:rsid w:val="00FB08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B3CD19"/>
  <w15:docId w15:val="{C94105ED-83D8-4D2B-8CA9-CC347823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C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B81"/>
    <w:pPr>
      <w:tabs>
        <w:tab w:val="center" w:pos="4419"/>
        <w:tab w:val="right" w:pos="8838"/>
      </w:tabs>
    </w:pPr>
  </w:style>
  <w:style w:type="character" w:customStyle="1" w:styleId="EncabezadoCar">
    <w:name w:val="Encabezado Car"/>
    <w:basedOn w:val="Fuentedeprrafopredeter"/>
    <w:link w:val="Encabezado"/>
    <w:uiPriority w:val="99"/>
    <w:rsid w:val="00BB1B81"/>
  </w:style>
  <w:style w:type="paragraph" w:styleId="Piedepgina">
    <w:name w:val="footer"/>
    <w:basedOn w:val="Normal"/>
    <w:link w:val="PiedepginaCar"/>
    <w:uiPriority w:val="99"/>
    <w:unhideWhenUsed/>
    <w:rsid w:val="00BB1B81"/>
    <w:pPr>
      <w:tabs>
        <w:tab w:val="center" w:pos="4419"/>
        <w:tab w:val="right" w:pos="8838"/>
      </w:tabs>
    </w:pPr>
  </w:style>
  <w:style w:type="character" w:customStyle="1" w:styleId="PiedepginaCar">
    <w:name w:val="Pie de página Car"/>
    <w:basedOn w:val="Fuentedeprrafopredeter"/>
    <w:link w:val="Piedepgina"/>
    <w:uiPriority w:val="99"/>
    <w:rsid w:val="00BB1B81"/>
  </w:style>
  <w:style w:type="paragraph" w:styleId="Textodeglobo">
    <w:name w:val="Balloon Text"/>
    <w:basedOn w:val="Normal"/>
    <w:link w:val="TextodegloboCar"/>
    <w:uiPriority w:val="99"/>
    <w:semiHidden/>
    <w:unhideWhenUsed/>
    <w:rsid w:val="008B74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480"/>
    <w:rPr>
      <w:rFonts w:ascii="Segoe UI" w:hAnsi="Segoe UI" w:cs="Segoe UI"/>
      <w:sz w:val="18"/>
      <w:szCs w:val="18"/>
    </w:rPr>
  </w:style>
  <w:style w:type="paragraph" w:styleId="NormalWeb">
    <w:name w:val="Normal (Web)"/>
    <w:basedOn w:val="Normal"/>
    <w:uiPriority w:val="99"/>
    <w:unhideWhenUsed/>
    <w:rsid w:val="00C97DE8"/>
    <w:pPr>
      <w:spacing w:before="100" w:beforeAutospacing="1" w:after="119"/>
    </w:pPr>
    <w:rPr>
      <w:rFonts w:ascii="Times New Roman" w:eastAsia="Times New Roman" w:hAnsi="Times New Roman" w:cs="Times New Roman"/>
      <w:lang w:val="es-ES" w:eastAsia="es-ES"/>
    </w:rPr>
  </w:style>
  <w:style w:type="table" w:styleId="Tablaconcuadrcula">
    <w:name w:val="Table Grid"/>
    <w:basedOn w:val="Tablanormal"/>
    <w:uiPriority w:val="59"/>
    <w:rsid w:val="00C97DE8"/>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1054A4"/>
    <w:pPr>
      <w:widowControl w:val="0"/>
      <w:autoSpaceDE w:val="0"/>
      <w:autoSpaceDN w:val="0"/>
    </w:pPr>
    <w:rPr>
      <w:rFonts w:ascii="Arial" w:eastAsia="Arial" w:hAnsi="Arial" w:cs="Arial"/>
      <w:lang w:val="es-MX" w:eastAsia="es-MX" w:bidi="es-MX"/>
    </w:rPr>
  </w:style>
  <w:style w:type="character" w:customStyle="1" w:styleId="TextoindependienteCar">
    <w:name w:val="Texto independiente Car"/>
    <w:basedOn w:val="Fuentedeprrafopredeter"/>
    <w:link w:val="Textoindependiente"/>
    <w:uiPriority w:val="1"/>
    <w:rsid w:val="001054A4"/>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836</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Flavio Ángel Hernández Ríos</cp:lastModifiedBy>
  <cp:revision>10</cp:revision>
  <cp:lastPrinted>2018-10-22T20:33:00Z</cp:lastPrinted>
  <dcterms:created xsi:type="dcterms:W3CDTF">2020-10-23T00:36:00Z</dcterms:created>
  <dcterms:modified xsi:type="dcterms:W3CDTF">2021-06-24T08:56:00Z</dcterms:modified>
</cp:coreProperties>
</file>